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44665">
      <w:pPr>
        <w:pStyle w:val="2"/>
        <w:spacing w:before="0" w:after="0"/>
        <w:rPr>
          <w:rFonts w:ascii="Times New Roman" w:hAnsi="Times New Roman" w:eastAsia="微软雅黑"/>
          <w:b/>
          <w:bCs/>
          <w:color w:val="auto"/>
        </w:rPr>
      </w:pPr>
      <w:bookmarkStart w:id="0" w:name="声音的统一1913年读音统一会历史委员会-背景资料"/>
      <w:r>
        <w:rPr>
          <w:rFonts w:ascii="Times New Roman" w:hAnsi="Times New Roman" w:eastAsia="微软雅黑"/>
          <w:b/>
          <w:bCs/>
          <w:color w:val="auto"/>
        </w:rPr>
        <w:t>声音的统一：1913年读音统一会历史委员会</w:t>
      </w:r>
    </w:p>
    <w:p w14:paraId="3B5051AC">
      <w:pPr>
        <w:pStyle w:val="23"/>
        <w:spacing w:before="0" w:after="0"/>
        <w:rPr>
          <w:rFonts w:hint="eastAsia" w:ascii="Times New Roman" w:hAnsi="Times New Roman" w:eastAsia="微软雅黑"/>
          <w:b/>
          <w:bCs/>
          <w:color w:val="auto"/>
          <w:lang w:val="en-US" w:eastAsia="zh-CN"/>
        </w:rPr>
      </w:pPr>
      <w:r>
        <w:rPr>
          <w:rFonts w:hint="eastAsia" w:ascii="Times New Roman" w:hAnsi="Times New Roman" w:eastAsia="微软雅黑"/>
          <w:b/>
          <w:bCs/>
          <w:color w:val="auto"/>
          <w:lang w:val="en-US" w:eastAsia="zh-CN"/>
        </w:rPr>
        <w:t>委员会：1913年读音统一会</w:t>
      </w:r>
    </w:p>
    <w:p w14:paraId="077C0CC7">
      <w:pPr>
        <w:pStyle w:val="3"/>
        <w:spacing w:before="0" w:after="0"/>
        <w:rPr>
          <w:rFonts w:ascii="Times New Roman" w:hAnsi="Times New Roman" w:eastAsia="微软雅黑"/>
          <w:b/>
          <w:bCs/>
          <w:color w:val="auto"/>
        </w:rPr>
      </w:pPr>
      <w:r>
        <w:rPr>
          <w:rFonts w:ascii="Times New Roman" w:hAnsi="Times New Roman" w:eastAsia="微软雅黑"/>
          <w:b/>
          <w:bCs/>
          <w:color w:val="auto"/>
        </w:rPr>
        <w:t>议事规则：罗伯特议事规则</w:t>
      </w:r>
    </w:p>
    <w:p w14:paraId="5113D15E">
      <w:pPr>
        <w:pStyle w:val="3"/>
        <w:spacing w:before="0" w:after="0"/>
        <w:rPr>
          <w:rFonts w:ascii="Times New Roman" w:hAnsi="Times New Roman" w:eastAsia="微软雅黑"/>
          <w:b/>
          <w:bCs/>
          <w:color w:val="auto"/>
        </w:rPr>
      </w:pPr>
      <w:r>
        <w:rPr>
          <w:rFonts w:ascii="Times New Roman" w:hAnsi="Times New Roman" w:eastAsia="微软雅黑"/>
          <w:b/>
          <w:bCs/>
          <w:color w:val="auto"/>
        </w:rPr>
        <w:t>工作语言：中文</w:t>
      </w:r>
    </w:p>
    <w:p w14:paraId="4F8EFD1F">
      <w:pPr>
        <w:rPr>
          <w:rFonts w:ascii="Times New Roman" w:hAnsi="Times New Roman" w:eastAsia="微软雅黑"/>
          <w:b w:val="0"/>
          <w:bCs w:val="0"/>
          <w:color w:val="auto"/>
        </w:rPr>
      </w:pPr>
    </w:p>
    <w:p w14:paraId="4B9CAD7E">
      <w:pPr>
        <w:pStyle w:val="4"/>
        <w:rPr>
          <w:rFonts w:ascii="Times New Roman" w:hAnsi="Times New Roman" w:eastAsia="微软雅黑"/>
          <w:b w:val="0"/>
          <w:bCs w:val="0"/>
          <w:color w:val="auto"/>
        </w:rPr>
      </w:pPr>
      <w:bookmarkStart w:id="1" w:name="一委员会介绍"/>
      <w:r>
        <w:rPr>
          <w:rFonts w:ascii="Times New Roman" w:hAnsi="Times New Roman" w:eastAsia="微软雅黑"/>
          <w:b w:val="0"/>
          <w:bCs w:val="0"/>
          <w:color w:val="auto"/>
        </w:rPr>
        <w:t>一、委员会介绍</w:t>
      </w:r>
    </w:p>
    <w:p w14:paraId="655D992F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hint="eastAsia" w:ascii="Times New Roman" w:hAnsi="Times New Roman" w:eastAsia="微软雅黑"/>
          <w:b w:val="0"/>
          <w:bCs w:val="0"/>
          <w:color w:val="auto"/>
        </w:rPr>
        <w:t>1913年2月15日，北京。中华民国教育部召集的读音统一会正式开幕。这是中国有史以来第一次以国家名义召开的语音标准化会议。44名来自各省及边疆地区的代表，以及国内最顶尖的语言学家、教育改革者齐聚一堂，肩负着一项前所未有的使命：为四万万同胞制定一套”国音”，并创制一套注音符号</w:t>
      </w:r>
      <w:r>
        <w:rPr>
          <w:rFonts w:ascii="Times New Roman" w:hAnsi="Times New Roman" w:eastAsia="微软雅黑"/>
          <w:b w:val="0"/>
          <w:bCs w:val="0"/>
          <w:color w:val="auto"/>
        </w:rPr>
        <w:t>（黎锦熙，1934；Weng, 2018）。</w:t>
      </w:r>
    </w:p>
    <w:p w14:paraId="317A1F08">
      <w:pPr>
        <w:spacing w:after="0" w:line="360" w:lineRule="auto"/>
        <w:rPr>
          <w:rFonts w:hint="eastAsia" w:ascii="Times New Roman" w:hAnsi="Times New Roman" w:eastAsia="微软雅黑" w:cstheme="minorBidi"/>
          <w:b w:val="0"/>
          <w:bCs w:val="0"/>
          <w:color w:val="auto"/>
          <w:sz w:val="24"/>
          <w:szCs w:val="24"/>
          <w:lang w:val="en-US" w:eastAsia="en-US" w:bidi="ar-SA"/>
        </w:rPr>
      </w:pPr>
      <w:r>
        <w:rPr>
          <w:rFonts w:hint="eastAsia" w:ascii="Times New Roman" w:hAnsi="Times New Roman" w:eastAsia="微软雅黑" w:cstheme="minorBidi"/>
          <w:b w:val="0"/>
          <w:bCs w:val="0"/>
          <w:color w:val="auto"/>
          <w:sz w:val="24"/>
          <w:szCs w:val="24"/>
          <w:lang w:val="en-US" w:eastAsia="en-US" w:bidi="ar-SA"/>
        </w:rPr>
        <w:t>这不是一场单纯的学术研讨。国音的标准将决定谁的声音被听见、谁的方言被边缘化；注音字母的形态将直接影响亿万学童的启蒙方式。在帝制崩溃、共和初建的动荡时刻，语言统一被视作民族建构的基石</w:t>
      </w:r>
      <w:r>
        <w:rPr>
          <w:rFonts w:hint="eastAsia" w:ascii="Times New Roman" w:hAnsi="Times New Roman" w:eastAsia="微软雅黑" w:cstheme="minorBidi"/>
          <w:b w:val="0"/>
          <w:bCs w:val="0"/>
          <w:color w:val="auto"/>
          <w:sz w:val="24"/>
          <w:szCs w:val="24"/>
          <w:lang w:val="en-US" w:eastAsia="zh-CN" w:bidi="ar-SA"/>
        </w:rPr>
        <w:t>。</w:t>
      </w:r>
      <w:r>
        <w:rPr>
          <w:rFonts w:hint="eastAsia" w:ascii="Times New Roman" w:hAnsi="Times New Roman" w:eastAsia="微软雅黑" w:cstheme="minorBidi"/>
          <w:b w:val="0"/>
          <w:bCs w:val="0"/>
          <w:color w:val="auto"/>
          <w:sz w:val="24"/>
          <w:szCs w:val="24"/>
          <w:lang w:val="en-US" w:eastAsia="en-US" w:bidi="ar-SA"/>
        </w:rPr>
        <w:t>统一的国家，应有统一的精神，而言语正是精神的载体。</w:t>
      </w:r>
    </w:p>
    <w:p w14:paraId="1DAF9205">
      <w:pPr>
        <w:pStyle w:val="3"/>
        <w:rPr>
          <w:rFonts w:hint="eastAsia" w:ascii="Times New Roman" w:hAnsi="Times New Roman" w:eastAsia="微软雅黑" w:cstheme="minorBidi"/>
          <w:b w:val="0"/>
          <w:bCs w:val="0"/>
          <w:color w:val="auto"/>
          <w:sz w:val="24"/>
          <w:szCs w:val="24"/>
          <w:lang w:val="en-US" w:eastAsia="en-US" w:bidi="ar-SA"/>
        </w:rPr>
      </w:pPr>
      <w:r>
        <w:rPr>
          <w:rFonts w:hint="eastAsia" w:ascii="微软雅黑" w:hAnsi="微软雅黑" w:eastAsia="微软雅黑" w:cs="微软雅黑"/>
        </w:rPr>
        <w:t>然而，代表们很快发现，“统一”二字谈何容易。北京官话能否天然成为国音？南方方言中的入声是否应当保留？注音符号应取自古汉字还是另创新体？每一个技术问题背后，都是深层的政治博弈与身份认同之争。</w:t>
      </w:r>
    </w:p>
    <w:p w14:paraId="19B8D092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1912年12月，教育部颁布《读音统一会章程》，明定本会三项任务，即本委员会之职权边界（黎锦熙，1934）：</w:t>
      </w:r>
    </w:p>
    <w:p w14:paraId="5289988B">
      <w:pPr>
        <w:pStyle w:val="24"/>
        <w:numPr>
          <w:ilvl w:val="0"/>
          <w:numId w:val="1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审定一切字音，为法定国音；</w:t>
      </w:r>
    </w:p>
    <w:p w14:paraId="52B1D0B8">
      <w:pPr>
        <w:pStyle w:val="24"/>
        <w:numPr>
          <w:ilvl w:val="0"/>
          <w:numId w:val="1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将所有国音均析为至单至纯之音素，核定所有音素总数；</w:t>
      </w:r>
    </w:p>
    <w:p w14:paraId="0E623952">
      <w:pPr>
        <w:pStyle w:val="24"/>
        <w:numPr>
          <w:ilvl w:val="0"/>
          <w:numId w:val="1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采定字母，每一音素均以一字母表之。</w:t>
      </w:r>
    </w:p>
    <w:p w14:paraId="55CE5BD8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围绕此三项任务，本委员会设两个议题：议题一”国音标准之审定”（审音原则、表决机制与南北音取舍）；议题二”注音字母之采定”（字母方案之选择与字母职能之定位）。本会不讨论废除汉字、不处理白话文运动（此皆数年后之议题），但须为”国音”与”注音字母”给出可公布、可推行的正式方案，预期产出《国音审定决议案》与《注音字母采定案》两份文件。</w:t>
      </w:r>
    </w:p>
    <w:p w14:paraId="39DE4173">
      <w:pPr>
        <w:pStyle w:val="5"/>
        <w:rPr>
          <w:rFonts w:ascii="Times New Roman" w:hAnsi="Times New Roman" w:eastAsia="微软雅黑"/>
          <w:b w:val="0"/>
          <w:bCs w:val="0"/>
          <w:color w:val="auto"/>
        </w:rPr>
      </w:pPr>
      <w:bookmarkStart w:id="2" w:name="席位设置"/>
      <w:r>
        <w:rPr>
          <w:rFonts w:ascii="Times New Roman" w:hAnsi="Times New Roman" w:eastAsia="微软雅黑"/>
          <w:b w:val="0"/>
          <w:bCs w:val="0"/>
          <w:color w:val="auto"/>
        </w:rPr>
        <w:t>席位设置</w:t>
      </w:r>
    </w:p>
    <w:p w14:paraId="25EBC3AC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本会共设16席，分地方代表、专家代表与少数民族代表三类。各席位之核心立场如下表所示，供代表会前研究之起点；代表可在学理自洽与史实不悖的前提下深化或微调本席立场。</w:t>
      </w:r>
    </w:p>
    <w:tbl>
      <w:tblPr>
        <w:tblStyle w:val="2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6"/>
        <w:gridCol w:w="1656"/>
        <w:gridCol w:w="3950"/>
      </w:tblGrid>
      <w:tr w14:paraId="5FD14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3D11224E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席位</w:t>
            </w:r>
          </w:p>
        </w:tc>
        <w:tc>
          <w:p w14:paraId="4E173650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角色类型</w:t>
            </w:r>
          </w:p>
        </w:tc>
        <w:tc>
          <w:p w14:paraId="1ACFED67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核心立场</w:t>
            </w:r>
          </w:p>
        </w:tc>
      </w:tr>
      <w:tr w14:paraId="5C354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D1B8675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直隶省（北京）代表</w:t>
            </w:r>
          </w:p>
        </w:tc>
        <w:tc>
          <w:p w14:paraId="33684355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地方代表</w:t>
            </w:r>
          </w:p>
        </w:tc>
        <w:tc>
          <w:p w14:paraId="6E474F4A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京音派</w:t>
            </w:r>
          </w:p>
        </w:tc>
      </w:tr>
      <w:tr w14:paraId="37F87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4ED3C1A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山东省代表</w:t>
            </w:r>
          </w:p>
        </w:tc>
        <w:tc>
          <w:p w14:paraId="0B5EC409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地方代表</w:t>
            </w:r>
          </w:p>
        </w:tc>
        <w:tc>
          <w:p w14:paraId="201EF992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京音派</w:t>
            </w:r>
          </w:p>
        </w:tc>
      </w:tr>
      <w:tr w14:paraId="67CB6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11B1160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河南省代表</w:t>
            </w:r>
          </w:p>
        </w:tc>
        <w:tc>
          <w:p w14:paraId="4AEEC36D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地方代表</w:t>
            </w:r>
          </w:p>
        </w:tc>
        <w:tc>
          <w:p w14:paraId="3D07615B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中原官话/偏京音</w:t>
            </w:r>
          </w:p>
        </w:tc>
      </w:tr>
      <w:tr w14:paraId="5E4E8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1E854C8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江苏省代表</w:t>
            </w:r>
          </w:p>
        </w:tc>
        <w:tc>
          <w:p w14:paraId="5F9CDE0D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地方代表</w:t>
            </w:r>
          </w:p>
        </w:tc>
        <w:tc>
          <w:p w14:paraId="6E8769F8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混合音/吴语</w:t>
            </w:r>
          </w:p>
        </w:tc>
      </w:tr>
      <w:tr w14:paraId="0D1D3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DF163C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浙江省代表</w:t>
            </w:r>
          </w:p>
        </w:tc>
        <w:tc>
          <w:p w14:paraId="1BD905F1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地方代表</w:t>
            </w:r>
          </w:p>
        </w:tc>
        <w:tc>
          <w:p w14:paraId="6B9D418D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混合音/吴语/章太炎学派</w:t>
            </w:r>
          </w:p>
        </w:tc>
      </w:tr>
      <w:tr w14:paraId="72658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50F64C9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广东省代表</w:t>
            </w:r>
          </w:p>
        </w:tc>
        <w:tc>
          <w:p w14:paraId="64E8B4DE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地方代表</w:t>
            </w:r>
          </w:p>
        </w:tc>
        <w:tc>
          <w:p w14:paraId="5CE027D8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保留入声/粤语</w:t>
            </w:r>
          </w:p>
        </w:tc>
      </w:tr>
      <w:tr w14:paraId="5E856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DDE661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福建省代表</w:t>
            </w:r>
          </w:p>
        </w:tc>
        <w:tc>
          <w:p w14:paraId="0A8B561E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地方代表</w:t>
            </w:r>
          </w:p>
        </w:tc>
        <w:tc>
          <w:p w14:paraId="466774EE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保留入声/闽语</w:t>
            </w:r>
          </w:p>
        </w:tc>
      </w:tr>
      <w:tr w14:paraId="32103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5E0A552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湖北省代表</w:t>
            </w:r>
          </w:p>
        </w:tc>
        <w:tc>
          <w:p w14:paraId="062CBE23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地方代表</w:t>
            </w:r>
          </w:p>
        </w:tc>
        <w:tc>
          <w:p w14:paraId="000F7A6F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西南官话/关键摇摆</w:t>
            </w:r>
          </w:p>
        </w:tc>
      </w:tr>
      <w:tr w14:paraId="4FECE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2B0070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四川省代表</w:t>
            </w:r>
          </w:p>
        </w:tc>
        <w:tc>
          <w:p w14:paraId="61E54573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地方代表</w:t>
            </w:r>
          </w:p>
        </w:tc>
        <w:tc>
          <w:p w14:paraId="09E60728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西南官话</w:t>
            </w:r>
          </w:p>
        </w:tc>
      </w:tr>
      <w:tr w14:paraId="7534A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A6964FF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湖南省代表</w:t>
            </w:r>
          </w:p>
        </w:tc>
        <w:tc>
          <w:p w14:paraId="24A78661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地方代表</w:t>
            </w:r>
          </w:p>
        </w:tc>
        <w:tc>
          <w:p w14:paraId="3F234F73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湘语/保留入声</w:t>
            </w:r>
          </w:p>
        </w:tc>
      </w:tr>
      <w:tr w14:paraId="024E7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1715C85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江西省代表</w:t>
            </w:r>
          </w:p>
        </w:tc>
        <w:tc>
          <w:p w14:paraId="18332ABC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地方代表</w:t>
            </w:r>
          </w:p>
        </w:tc>
        <w:tc>
          <w:p w14:paraId="6D8B79F3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赣语/保留入声</w:t>
            </w:r>
          </w:p>
        </w:tc>
      </w:tr>
      <w:tr w14:paraId="02B32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42111F9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王照</w:t>
            </w:r>
          </w:p>
        </w:tc>
        <w:tc>
          <w:p w14:paraId="65C91320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专家代表</w:t>
            </w:r>
          </w:p>
        </w:tc>
        <w:tc>
          <w:p w14:paraId="3323CA0E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京音派领袖/官话字母创制人</w:t>
            </w:r>
          </w:p>
        </w:tc>
      </w:tr>
      <w:tr w14:paraId="0128F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619D0F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吴稚晖</w:t>
            </w:r>
          </w:p>
        </w:tc>
        <w:tc>
          <w:p w14:paraId="48E6F9D4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专家代表</w:t>
            </w:r>
          </w:p>
        </w:tc>
        <w:tc>
          <w:p w14:paraId="6623B4F0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混合音/激进改革派/注音字母设计者</w:t>
            </w:r>
          </w:p>
        </w:tc>
      </w:tr>
      <w:tr w14:paraId="03CDA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02694A3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章太炎学派代表（朱希祖）</w:t>
            </w:r>
          </w:p>
        </w:tc>
        <w:tc>
          <w:p w14:paraId="6420CDB8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专家代表</w:t>
            </w:r>
          </w:p>
        </w:tc>
        <w:tc>
          <w:p w14:paraId="3197D6D4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音韵学传统/混合音</w:t>
            </w:r>
          </w:p>
        </w:tc>
      </w:tr>
      <w:tr w14:paraId="61E74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977464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蒙古代表</w:t>
            </w:r>
          </w:p>
        </w:tc>
        <w:tc>
          <w:p w14:paraId="59338E27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少数民族代表</w:t>
            </w:r>
          </w:p>
        </w:tc>
        <w:tc>
          <w:p w14:paraId="6602C70B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观望/关注民族语言权利</w:t>
            </w:r>
          </w:p>
        </w:tc>
      </w:tr>
      <w:tr w14:paraId="2F53D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C57231A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西藏代表</w:t>
            </w:r>
          </w:p>
        </w:tc>
        <w:tc>
          <w:p w14:paraId="69089085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少数民族代表</w:t>
            </w:r>
          </w:p>
        </w:tc>
        <w:tc>
          <w:p w14:paraId="0D83E1CF">
            <w:pPr>
              <w:pStyle w:val="24"/>
              <w:jc w:val="left"/>
              <w:rPr>
                <w:rFonts w:ascii="Times New Roman" w:hAnsi="Times New Roman" w:eastAsia="微软雅黑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微软雅黑"/>
                <w:b w:val="0"/>
                <w:bCs w:val="0"/>
                <w:color w:val="auto"/>
              </w:rPr>
              <w:t>观望/关注民族语言权利</w:t>
            </w:r>
          </w:p>
        </w:tc>
      </w:tr>
    </w:tbl>
    <w:p w14:paraId="68910D02">
      <w:pPr>
        <w:rPr>
          <w:rFonts w:ascii="Times New Roman" w:hAnsi="Times New Roman" w:eastAsia="微软雅黑"/>
          <w:b w:val="0"/>
          <w:bCs w:val="0"/>
          <w:color w:val="auto"/>
        </w:rPr>
      </w:pPr>
    </w:p>
    <w:bookmarkEnd w:id="1"/>
    <w:bookmarkEnd w:id="2"/>
    <w:p w14:paraId="34109E75">
      <w:pPr>
        <w:pStyle w:val="4"/>
        <w:rPr>
          <w:rFonts w:ascii="Times New Roman" w:hAnsi="Times New Roman" w:eastAsia="微软雅黑"/>
          <w:b w:val="0"/>
          <w:bCs w:val="0"/>
          <w:color w:val="auto"/>
        </w:rPr>
      </w:pPr>
      <w:bookmarkStart w:id="3" w:name="二历史脉络"/>
      <w:r>
        <w:rPr>
          <w:rFonts w:ascii="Times New Roman" w:hAnsi="Times New Roman" w:eastAsia="微软雅黑"/>
          <w:b w:val="0"/>
          <w:bCs w:val="0"/>
          <w:color w:val="auto"/>
        </w:rPr>
        <w:t>二、历史脉络</w:t>
      </w:r>
    </w:p>
    <w:p w14:paraId="73250FA8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（一）官话与正音传统。 明清两代，官员交际通用”官话”（guanhua）。然官话并非经官方编纂之严格标准，而是一种跨地域的交际共通语；直至十九世纪中叶以前，官话受南京方音之影响反较北京方音为深，北京话之声望迟至十九世纪末方才鹊起（Weng, 2018）。清雍正帝曾因闽粤官员”乡音不可通晓”，谕令其于专门机构学习官话——这是朝廷明确干预方音之先声。</w:t>
      </w:r>
    </w:p>
    <w:p w14:paraId="6E74DEA0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（二）切音字运动。 甲午战败之后，知识人深信日本之强在于”民智早开”、人人识字，遂掀起切音字运动：卢戆章《一目了然初阶》（1892）、蔡锡勇《传音快字》（1896）、王照《官话合声字母》（1900）、劳乃宣《简字全谱》（1905）相继问世，皆以拼音化手段谋求普及教育（Kaske, 2008；黎锦熙，1934）。王照方案一度由京津传至奉天、南京，流播十三省；劳乃宣于京音方案之外另加宁音（南京音）方案，已埋下南北音之争的伏笔。章太炎则取”古文篆籀径省之形”，拟”纽文”三十六、“韵文”二十二，主张以固有文字孳乳新符，反对废弃汉字。</w:t>
      </w:r>
    </w:p>
    <w:p w14:paraId="7D01048A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（三）从临时教育会议到本会。 1912年7月，中央临时教育会议通过《采用注音字母案》；12月，教育部颁布《读音统一会章程》，令各省选派代表二人，蒙、藏各派一人，华侨派一人，会员资格要求”精通小学、旁通一种或两种以上外语、谙晓多种方言”（黎锦熙，1934）。1913年2月15日，会议于北京开幕，受邀约八十人，实到四十四人，会期三月有余。会员省籍分布畸轻畸重：江苏十七八人、浙江九人、直隶七八人，而边远省份仅一二人——江浙学人在人数与学理上均占强势，这一构成本身即为日后冲突的引线（Weng, 2018；Simmons, 2017）。</w:t>
      </w:r>
    </w:p>
    <w:p w14:paraId="709398F5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（四）会议的实际程序。 依《读音统一会进行程序》（吴稚晖草定），会议先依清李光地《音韵阐微》各韵之同音字，取较为常用者为《备审字类》，隔夜印发各会员，分省商定应读之音，以会中预备之”记音字母”注于其上；次日开会，每省为一表决权，推一审音代表交出注音单，由记音员逐音公较其多寡，以最多数为会中审定之读音；审定之音若会员以为未当，当场得六人以上赞同者，各审音代表应即协议修正（中国大百科全书总编辑委员会，2023）。开幕当日以记名投票选举议长、副议长，吴稚晖以29票当选议长，王照以5票当选副议长——两派领袖各就其位，大战一触即发。</w:t>
      </w:r>
    </w:p>
    <w:p w14:paraId="6EB05609">
      <w:pPr>
        <w:rPr>
          <w:rFonts w:ascii="Times New Roman" w:hAnsi="Times New Roman" w:eastAsia="微软雅黑"/>
          <w:b w:val="0"/>
          <w:bCs w:val="0"/>
          <w:color w:val="auto"/>
        </w:rPr>
      </w:pPr>
    </w:p>
    <w:bookmarkEnd w:id="3"/>
    <w:p w14:paraId="7D980B6E">
      <w:pPr>
        <w:pStyle w:val="4"/>
        <w:rPr>
          <w:rFonts w:ascii="Times New Roman" w:hAnsi="Times New Roman" w:eastAsia="微软雅黑"/>
          <w:b w:val="0"/>
          <w:bCs w:val="0"/>
          <w:color w:val="auto"/>
        </w:rPr>
      </w:pPr>
      <w:bookmarkStart w:id="4" w:name="三核心矛盾"/>
      <w:r>
        <w:rPr>
          <w:rFonts w:ascii="Times New Roman" w:hAnsi="Times New Roman" w:eastAsia="微软雅黑"/>
          <w:b w:val="0"/>
          <w:bCs w:val="0"/>
          <w:color w:val="auto"/>
        </w:rPr>
        <w:t>三、核心矛盾</w:t>
      </w:r>
    </w:p>
    <w:p w14:paraId="18B2F94A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矛盾一：标准音的性质</w:t>
      </w:r>
      <w:r>
        <w:rPr>
          <w:rFonts w:hint="eastAsia" w:ascii="Times New Roman" w:hAnsi="Times New Roman" w:eastAsia="微软雅黑"/>
          <w:b w:val="0"/>
          <w:bCs w:val="0"/>
          <w:color w:val="auto"/>
          <w:lang w:eastAsia="zh-CN"/>
        </w:rPr>
        <w:t>：</w:t>
      </w:r>
      <w:r>
        <w:rPr>
          <w:rFonts w:ascii="Times New Roman" w:hAnsi="Times New Roman" w:eastAsia="微软雅黑"/>
          <w:b w:val="0"/>
          <w:bCs w:val="0"/>
          <w:color w:val="auto"/>
        </w:rPr>
        <w:t>京音，还是混合国音？ 以王照为首的京音派主张：标准音必须是一个活的、有人天然操持的音系，即北京官话之音；相应地，北京话所无的浊音声母当去、入声当废。以吴稚晖及江浙多数会员为代表的混合音派（会通派）则主张：国音乃”全国派人会议所公定”之音，“非复北有南有京有省有县有”，当以《广韵》《音韵阐微》所载音类为框架逐字审定，折中南北、牵合古今（Simmons, 2017；Weng, 2018）。两派之争实为两种”国家”想象之争：前者以首善之地垂范全国，后者以拼合之音象征五族共和、南北一体。</w:t>
      </w:r>
    </w:p>
    <w:p w14:paraId="171263E6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矛盾二：表决机制——一人一票，还是一省一票？ 面对江浙代表的人数优势，王照提议无论各省代表多寡、每省为一表决权，北方代表甚至以退出会议相要挟；汪荣宝则质问”若每省一表决权，从此中国古书都废了”，王照反诘”是否苏浙以外更无读书人”。最终会议采一省一票制（中国大百科全书总编辑委员会，2023）。此一程序之争的实质是：学理多数与地域代表性，孰者优先？</w:t>
      </w:r>
    </w:p>
    <w:p w14:paraId="35B6AF0D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矛盾三：具体音类之存废——浊音、入声、尖团。 在审音实操层面，南北冲突聚焦于三类音：其一，浊音声母（吴语等南方方言所保存）；其二，入声（粤语、闽语、湘语、赣语等南方各方言及晋语保存，北京话已消失）；其三，尖团之别。废之则南方代表视之为”以北音强全国”，存之则北方代表讥之为”人造怪音、无人会说”。此矛盾将直接塑造”国音”的实质面貌。</w:t>
      </w:r>
    </w:p>
    <w:p w14:paraId="542E70C0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矛盾</w:t>
      </w:r>
      <w:bookmarkStart w:id="16" w:name="_GoBack"/>
      <w:bookmarkEnd w:id="16"/>
      <w:r>
        <w:rPr>
          <w:rFonts w:ascii="Times New Roman" w:hAnsi="Times New Roman" w:eastAsia="微软雅黑"/>
          <w:b w:val="0"/>
          <w:bCs w:val="0"/>
          <w:color w:val="auto"/>
        </w:rPr>
        <w:t>四：字母形态——四条路线的竞争。 音素既经核定，当以何种符号记录？候选路线凡四：汉字笔画式（章太炎”纽文、韵文”，取古文篆籀径省之形）、自造符号（王照”官话合声字母”、劳乃宣”简字”）、罗马字母（卢戆章一脉，国际通用）、速记符号（蔡锡勇父子”传音快字”）。笔画式接续传统、民族主义上可接受；罗马字母科学精确，然被斥为”以夷变夏”；自造符号针对性最强，然方案林立；速记符号最简，然离民众书写习惯最远。</w:t>
      </w:r>
    </w:p>
    <w:p w14:paraId="4E6E2F9A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矛盾五：字母职能</w:t>
      </w:r>
      <w:r>
        <w:rPr>
          <w:rFonts w:hint="eastAsia" w:ascii="Times New Roman" w:hAnsi="Times New Roman" w:eastAsia="微软雅黑"/>
          <w:b w:val="0"/>
          <w:bCs w:val="0"/>
          <w:color w:val="auto"/>
          <w:lang w:val="en-US" w:eastAsia="zh-CN"/>
        </w:rPr>
        <w:t>是</w:t>
      </w:r>
      <w:r>
        <w:rPr>
          <w:rFonts w:ascii="Times New Roman" w:hAnsi="Times New Roman" w:eastAsia="微软雅黑"/>
          <w:b w:val="0"/>
          <w:bCs w:val="0"/>
          <w:color w:val="auto"/>
        </w:rPr>
        <w:t>注音工具，还是新文字？ 这套字母，究竟是”伺候汉字、偎傍汉字”的注音工具，还是可与汉字并行的新文字，抑或是终将取代汉字的拼音文字？此一定位之争牵动文教全局：若仅为注音，则字母服务于识字；若为文字，则动摇千年文教之本。稳妥派视此为底线，激进派视此为起点。</w:t>
      </w:r>
    </w:p>
    <w:p w14:paraId="54B90BB8">
      <w:pPr>
        <w:rPr>
          <w:rFonts w:ascii="Times New Roman" w:hAnsi="Times New Roman" w:eastAsia="微软雅黑"/>
          <w:b w:val="0"/>
          <w:bCs w:val="0"/>
          <w:color w:val="auto"/>
        </w:rPr>
      </w:pPr>
    </w:p>
    <w:bookmarkEnd w:id="4"/>
    <w:p w14:paraId="30AE7F14">
      <w:pPr>
        <w:pStyle w:val="4"/>
        <w:rPr>
          <w:rFonts w:ascii="Times New Roman" w:hAnsi="Times New Roman" w:eastAsia="微软雅黑"/>
          <w:b w:val="0"/>
          <w:bCs w:val="0"/>
          <w:color w:val="auto"/>
        </w:rPr>
      </w:pPr>
      <w:bookmarkStart w:id="5" w:name="四各方立场"/>
      <w:r>
        <w:rPr>
          <w:rFonts w:ascii="Times New Roman" w:hAnsi="Times New Roman" w:eastAsia="微软雅黑"/>
          <w:b w:val="0"/>
          <w:bCs w:val="0"/>
          <w:color w:val="auto"/>
        </w:rPr>
        <w:t>四、各方立场</w:t>
      </w:r>
    </w:p>
    <w:p w14:paraId="1F02F09A">
      <w:pPr>
        <w:pStyle w:val="5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bookmarkStart w:id="6" w:name="京音派"/>
      <w:r>
        <w:rPr>
          <w:rFonts w:hint="eastAsia" w:ascii="微软雅黑" w:hAnsi="微软雅黑" w:eastAsia="微软雅黑" w:cs="微软雅黑"/>
          <w:b w:val="0"/>
          <w:bCs w:val="0"/>
          <w:color w:val="auto"/>
        </w:rPr>
        <w:t>京音派</w:t>
      </w:r>
    </w:p>
    <w:p w14:paraId="6AE7C94B">
      <w:pPr>
        <w:pStyle w:val="24"/>
        <w:numPr>
          <w:ilvl w:val="0"/>
          <w:numId w:val="2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核心人物</w:t>
      </w:r>
      <w:r>
        <w:rPr>
          <w:rFonts w:hint="eastAsia" w:ascii="微软雅黑" w:hAnsi="微软雅黑" w:eastAsia="微软雅黑" w:cs="微软雅黑"/>
        </w:rPr>
        <w:t>：</w:t>
      </w:r>
      <w:r>
        <w:rPr>
          <w:rFonts w:ascii="Times New Roman" w:hAnsi="Times New Roman" w:eastAsia="微软雅黑"/>
          <w:b w:val="0"/>
          <w:bCs w:val="0"/>
          <w:color w:val="auto"/>
        </w:rPr>
        <w:t>王照为领袖，直隶、山东代表为基本盘，河南代表（中原官话、偏京音）为侧翼</w:t>
      </w:r>
      <w:r>
        <w:rPr>
          <w:rFonts w:hint="eastAsia" w:ascii="Times New Roman" w:hAnsi="Times New Roman" w:eastAsia="微软雅黑"/>
          <w:b w:val="0"/>
          <w:bCs w:val="0"/>
          <w:color w:val="auto"/>
          <w:lang w:eastAsia="zh-CN"/>
        </w:rPr>
        <w:t>。</w:t>
      </w:r>
    </w:p>
    <w:p w14:paraId="35EE0038">
      <w:pPr>
        <w:pStyle w:val="24"/>
        <w:numPr>
          <w:ilvl w:val="0"/>
          <w:numId w:val="2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主张</w:t>
      </w:r>
      <w:r>
        <w:rPr>
          <w:rFonts w:hint="eastAsia" w:ascii="微软雅黑" w:hAnsi="微软雅黑" w:eastAsia="微软雅黑" w:cs="微软雅黑"/>
        </w:rPr>
        <w:t>：以北京音为唯一标准，反对人为拼凑混合音。强调国音必须是一种”活”的语言，能被普通人自然说出，而非仅存在于字典中的抽象代码。</w:t>
      </w:r>
    </w:p>
    <w:p w14:paraId="67AA14AC">
      <w:pPr>
        <w:pStyle w:val="24"/>
        <w:numPr>
          <w:ilvl w:val="0"/>
          <w:numId w:val="2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/>
          <w:bCs/>
        </w:rPr>
        <w:t>论据</w:t>
      </w:r>
      <w:r>
        <w:rPr>
          <w:rFonts w:hint="eastAsia" w:ascii="微软雅黑" w:hAnsi="微软雅黑" w:eastAsia="微软雅黑" w:cs="微软雅黑"/>
        </w:rPr>
        <w:t>：北京作为千年帝都，其语言具有天然权威性；京音结构简单（无入声、无浊音），最利于普及教育。</w:t>
      </w:r>
      <w:bookmarkEnd w:id="6"/>
    </w:p>
    <w:p w14:paraId="6845E83C">
      <w:pPr>
        <w:pStyle w:val="5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</w:rPr>
        <w:t>混合音派（会通派）</w:t>
      </w:r>
    </w:p>
    <w:p w14:paraId="39E57DC2">
      <w:pPr>
        <w:pStyle w:val="24"/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核心人物</w:t>
      </w:r>
      <w:r>
        <w:rPr>
          <w:rFonts w:hint="eastAsia" w:ascii="微软雅黑" w:hAnsi="微软雅黑" w:eastAsia="微软雅黑" w:cs="微软雅黑"/>
          <w:b/>
          <w:bCs/>
          <w:lang w:eastAsia="zh-CN"/>
        </w:rPr>
        <w:t>：</w:t>
      </w:r>
      <w:r>
        <w:rPr>
          <w:rFonts w:hint="eastAsia" w:ascii="微软雅黑" w:hAnsi="微软雅黑" w:eastAsia="微软雅黑" w:cs="微软雅黑"/>
          <w:b/>
          <w:bCs/>
        </w:rPr>
        <w:t>吴稚晖为领袖，江苏代表为主力。</w:t>
      </w:r>
    </w:p>
    <w:p w14:paraId="4A54855B">
      <w:pPr>
        <w:pStyle w:val="24"/>
        <w:numPr>
          <w:ilvl w:val="0"/>
          <w:numId w:val="2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/>
          <w:bCs/>
        </w:rPr>
        <w:t>主张</w:t>
      </w:r>
      <w:r>
        <w:rPr>
          <w:rFonts w:hint="eastAsia" w:ascii="微软雅黑" w:hAnsi="微软雅黑" w:eastAsia="微软雅黑" w:cs="微软雅黑"/>
          <w:b/>
          <w:bCs/>
          <w:lang w:eastAsia="zh-CN"/>
        </w:rPr>
        <w:t>：</w:t>
      </w:r>
      <w:r>
        <w:rPr>
          <w:rFonts w:hint="eastAsia" w:ascii="微软雅黑" w:hAnsi="微软雅黑" w:eastAsia="微软雅黑" w:cs="微软雅黑"/>
          <w:b w:val="0"/>
          <w:bCs w:val="0"/>
        </w:rPr>
        <w:t>依《广韵》系韵书逐字审定，兼容南北音类，造就”国有之音”；</w:t>
      </w:r>
      <w:r>
        <w:rPr>
          <w:rFonts w:ascii="Times New Roman" w:hAnsi="Times New Roman" w:eastAsia="微软雅黑"/>
          <w:b w:val="0"/>
          <w:bCs w:val="0"/>
          <w:color w:val="auto"/>
        </w:rPr>
        <w:t>在字母问题上倾向笔画式记音方案，且对字母取代汉字持激进的开放态度。</w:t>
      </w:r>
    </w:p>
    <w:p w14:paraId="0F245B56">
      <w:pPr>
        <w:pStyle w:val="5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</w:rPr>
        <w:t>章太炎学派：</w:t>
      </w:r>
    </w:p>
    <w:p w14:paraId="5575ABC8">
      <w:pPr>
        <w:pStyle w:val="24"/>
        <w:numPr>
          <w:ilvl w:val="0"/>
          <w:numId w:val="2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/>
          <w:bCs/>
        </w:rPr>
        <w:t>朱希祖</w:t>
      </w:r>
      <w:r>
        <w:rPr>
          <w:rFonts w:hint="eastAsia" w:ascii="微软雅黑" w:hAnsi="微软雅黑" w:eastAsia="微软雅黑" w:cs="微软雅黑"/>
          <w:b/>
          <w:bCs/>
          <w:lang w:eastAsia="zh-CN"/>
        </w:rPr>
        <w:t>、</w:t>
      </w:r>
      <w:r>
        <w:rPr>
          <w:rFonts w:hint="eastAsia" w:ascii="微软雅黑" w:hAnsi="微软雅黑" w:eastAsia="微软雅黑" w:cs="微软雅黑"/>
          <w:b/>
          <w:bCs/>
        </w:rPr>
        <w:t>浙江代表。</w:t>
      </w:r>
    </w:p>
    <w:p w14:paraId="2C42812D">
      <w:pPr>
        <w:pStyle w:val="24"/>
        <w:numPr>
          <w:ilvl w:val="0"/>
          <w:numId w:val="2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主张：</w:t>
      </w:r>
      <w:r>
        <w:rPr>
          <w:rFonts w:hint="eastAsia" w:ascii="微软雅黑" w:hAnsi="微软雅黑" w:eastAsia="微软雅黑" w:cs="微软雅黑"/>
          <w:b w:val="0"/>
          <w:bCs w:val="0"/>
        </w:rPr>
        <w:t>自传统音韵学出发，强调清浊、入声之系统完整性不容以一地之音抹杀；力推章</w:t>
      </w:r>
      <w:r>
        <w:rPr>
          <w:rFonts w:ascii="Times New Roman" w:hAnsi="Times New Roman" w:eastAsia="微软雅黑"/>
          <w:b w:val="0"/>
          <w:bCs w:val="0"/>
          <w:color w:val="auto"/>
        </w:rPr>
        <w:t>氏”纽文、韵文”为字母蓝本</w:t>
      </w:r>
      <w:r>
        <w:rPr>
          <w:rFonts w:hint="eastAsia" w:ascii="Times New Roman" w:hAnsi="Times New Roman" w:eastAsia="微软雅黑"/>
          <w:b w:val="0"/>
          <w:bCs w:val="0"/>
          <w:color w:val="auto"/>
          <w:lang w:eastAsia="zh-CN"/>
        </w:rPr>
        <w:t>。</w:t>
      </w:r>
      <w:r>
        <w:rPr>
          <w:rFonts w:ascii="Times New Roman" w:hAnsi="Times New Roman" w:eastAsia="微软雅黑"/>
          <w:b w:val="0"/>
          <w:bCs w:val="0"/>
          <w:color w:val="auto"/>
        </w:rPr>
        <w:t>其方案”与一切语音系统等距”，可作注音工具、不离汉字形体、又合音理。</w:t>
      </w:r>
    </w:p>
    <w:p w14:paraId="0E4B7039">
      <w:pPr>
        <w:pStyle w:val="5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</w:rPr>
        <w:t>入声保守联盟：</w:t>
      </w:r>
    </w:p>
    <w:p w14:paraId="08DE189C">
      <w:pPr>
        <w:pStyle w:val="24"/>
        <w:numPr>
          <w:ilvl w:val="0"/>
          <w:numId w:val="2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/>
          <w:bCs/>
        </w:rPr>
        <w:t>广东（粤语）、福建（闽语）、湖南（湘语）、江西（赣语）代表。</w:t>
      </w:r>
    </w:p>
    <w:p w14:paraId="67E7C686">
      <w:pPr>
        <w:pStyle w:val="24"/>
        <w:numPr>
          <w:ilvl w:val="0"/>
          <w:numId w:val="2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主张：</w:t>
      </w:r>
      <w:r>
        <w:rPr>
          <w:rFonts w:hint="eastAsia" w:ascii="微软雅黑" w:hAnsi="微软雅黑" w:eastAsia="微软雅黑" w:cs="微软雅黑"/>
          <w:b w:val="0"/>
          <w:bCs w:val="0"/>
        </w:rPr>
        <w:t>四方音均保存入声，坚决反对废入声；在音类存废议题上与章太炎学派及混合音</w:t>
      </w:r>
      <w:r>
        <w:rPr>
          <w:rFonts w:ascii="Times New Roman" w:hAnsi="Times New Roman" w:eastAsia="微软雅黑"/>
          <w:b w:val="0"/>
          <w:bCs w:val="0"/>
          <w:color w:val="auto"/>
        </w:rPr>
        <w:t>派结盟，但在字母形态上各有主张。</w:t>
      </w:r>
    </w:p>
    <w:p w14:paraId="04A9184D">
      <w:pPr>
        <w:pStyle w:val="5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</w:rPr>
        <w:t>西南官话摇摆区：</w:t>
      </w:r>
    </w:p>
    <w:p w14:paraId="60E7C5DF">
      <w:pPr>
        <w:pStyle w:val="24"/>
        <w:numPr>
          <w:ilvl w:val="0"/>
          <w:numId w:val="2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/>
          <w:bCs/>
        </w:rPr>
        <w:t>湖北、四川代表。</w:t>
      </w:r>
    </w:p>
    <w:p w14:paraId="3C1C263E">
      <w:pPr>
        <w:pStyle w:val="24"/>
        <w:numPr>
          <w:ilvl w:val="0"/>
          <w:numId w:val="2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因</w:t>
      </w:r>
      <w:r>
        <w:rPr>
          <w:rFonts w:hint="eastAsia" w:ascii="微软雅黑" w:hAnsi="微软雅黑" w:eastAsia="微软雅黑" w:cs="微软雅黑"/>
          <w:b w:val="0"/>
          <w:bCs w:val="0"/>
        </w:rPr>
        <w:t>其方言属西南官话，音系近北，然地处偏远，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故</w:t>
      </w:r>
      <w:r>
        <w:rPr>
          <w:rFonts w:hint="eastAsia" w:ascii="微软雅黑" w:hAnsi="微软雅黑" w:eastAsia="微软雅黑" w:cs="微软雅黑"/>
          <w:b w:val="0"/>
          <w:bCs w:val="0"/>
        </w:rPr>
        <w:t>关注标准音之习得成本与推行可行</w:t>
      </w:r>
      <w:r>
        <w:rPr>
          <w:rFonts w:ascii="Times New Roman" w:hAnsi="Times New Roman" w:eastAsia="微软雅黑"/>
          <w:b w:val="0"/>
          <w:bCs w:val="0"/>
          <w:color w:val="auto"/>
        </w:rPr>
        <w:t>性。</w:t>
      </w:r>
    </w:p>
    <w:p w14:paraId="3430FEAA">
      <w:pPr>
        <w:pStyle w:val="5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</w:rPr>
        <w:t>少数民族代表：</w:t>
      </w:r>
    </w:p>
    <w:p w14:paraId="2DA36B43">
      <w:pPr>
        <w:pStyle w:val="24"/>
        <w:numPr>
          <w:ilvl w:val="0"/>
          <w:numId w:val="2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/>
          <w:bCs/>
        </w:rPr>
        <w:t>蒙古、西藏代表</w:t>
      </w:r>
    </w:p>
    <w:p w14:paraId="661AF4E6">
      <w:pPr>
        <w:pStyle w:val="24"/>
        <w:numPr>
          <w:ilvl w:val="0"/>
          <w:numId w:val="2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总体持观望立场，其核心关切在于五族共和框架下，国语统一与民族语言权利之</w:t>
      </w:r>
      <w:r>
        <w:rPr>
          <w:rFonts w:ascii="Times New Roman" w:hAnsi="Times New Roman" w:eastAsia="微软雅黑"/>
          <w:b w:val="0"/>
          <w:bCs w:val="0"/>
          <w:color w:val="auto"/>
        </w:rPr>
        <w:t>关系，以及会议决议在蒙藏地区之效力边界。</w:t>
      </w:r>
    </w:p>
    <w:p w14:paraId="4CA751EF">
      <w:pPr>
        <w:rPr>
          <w:rFonts w:ascii="Times New Roman" w:hAnsi="Times New Roman" w:eastAsia="微软雅黑"/>
          <w:b w:val="0"/>
          <w:bCs w:val="0"/>
          <w:color w:val="auto"/>
        </w:rPr>
      </w:pPr>
    </w:p>
    <w:bookmarkEnd w:id="5"/>
    <w:p w14:paraId="175ABB6A">
      <w:pPr>
        <w:pStyle w:val="4"/>
        <w:rPr>
          <w:rFonts w:ascii="Times New Roman" w:hAnsi="Times New Roman" w:eastAsia="微软雅黑"/>
          <w:b w:val="0"/>
          <w:bCs w:val="0"/>
          <w:color w:val="auto"/>
        </w:rPr>
      </w:pPr>
      <w:bookmarkStart w:id="7" w:name="五需要代表在会场上解决的问题"/>
      <w:r>
        <w:rPr>
          <w:rFonts w:ascii="Times New Roman" w:hAnsi="Times New Roman" w:eastAsia="微软雅黑"/>
          <w:b w:val="0"/>
          <w:bCs w:val="0"/>
          <w:color w:val="auto"/>
        </w:rPr>
        <w:t>五、需要代表在会场上解决的问题</w:t>
      </w:r>
    </w:p>
    <w:p w14:paraId="4C6644A2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议题一：国音标准之审定</w:t>
      </w:r>
    </w:p>
    <w:p w14:paraId="49C82098">
      <w:pPr>
        <w:pStyle w:val="24"/>
        <w:numPr>
          <w:ilvl w:val="0"/>
          <w:numId w:val="3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审音底本：以《广韵》《音韵阐微》所载音类为框架，抑或以现代方音之实地情况为据？</w:t>
      </w:r>
    </w:p>
    <w:p w14:paraId="171A69F9">
      <w:pPr>
        <w:pStyle w:val="24"/>
        <w:numPr>
          <w:ilvl w:val="0"/>
          <w:numId w:val="3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标准音性质：采单一地点音（京音），抑或拼合多方音类之”国音”？若采后者，拼合之原则与上限何在？</w:t>
      </w:r>
    </w:p>
    <w:p w14:paraId="7E0A677E">
      <w:pPr>
        <w:pStyle w:val="24"/>
        <w:numPr>
          <w:ilvl w:val="0"/>
          <w:numId w:val="3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表决机制：维持一省一票，抑或改为一人一票？专家代表之表决权如何归属？</w:t>
      </w:r>
    </w:p>
    <w:p w14:paraId="6B406E1B">
      <w:pPr>
        <w:pStyle w:val="24"/>
        <w:numPr>
          <w:ilvl w:val="0"/>
          <w:numId w:val="3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音类存废：浊音声母、入声、尖团之别，存乎？废乎？若存，以何种形式标注？</w:t>
      </w:r>
    </w:p>
    <w:p w14:paraId="6CC8627A">
      <w:pPr>
        <w:pStyle w:val="24"/>
        <w:numPr>
          <w:ilvl w:val="0"/>
          <w:numId w:val="3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异议程序：审定结果之修正门槛（历史上为六人附议）如何设定，方能兼顾效率与学理审慎？</w:t>
      </w:r>
    </w:p>
    <w:p w14:paraId="6885E914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议题二：注音字母之采定</w:t>
      </w:r>
    </w:p>
    <w:p w14:paraId="4505AF39">
      <w:pPr>
        <w:pStyle w:val="24"/>
        <w:numPr>
          <w:ilvl w:val="0"/>
          <w:numId w:val="4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字母形态：采何一路线？是否以某一既有方案（章氏纽韵文、官话合声字母等）为蓝本加以修订？</w:t>
      </w:r>
    </w:p>
    <w:p w14:paraId="5BE13967">
      <w:pPr>
        <w:pStyle w:val="24"/>
        <w:numPr>
          <w:ilvl w:val="0"/>
          <w:numId w:val="4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字母职能：明定字母仅为注音工具，抑或承认其文字地位？是否承诺”不以字母代汉字”？</w:t>
      </w:r>
    </w:p>
    <w:p w14:paraId="7E0B9448">
      <w:pPr>
        <w:pStyle w:val="24"/>
        <w:numPr>
          <w:ilvl w:val="0"/>
          <w:numId w:val="4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字母数目与拼式：声母、韵母、介音各设几何？双拼抑或三拼？</w:t>
      </w:r>
    </w:p>
    <w:p w14:paraId="3B3F293E">
      <w:pPr>
        <w:pStyle w:val="24"/>
        <w:numPr>
          <w:ilvl w:val="0"/>
          <w:numId w:val="4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方音容量：是否为浊音、入声等方音音素增设备用符号？（此问题与议题一之表决结果直接联动）</w:t>
      </w:r>
    </w:p>
    <w:p w14:paraId="7221D145">
      <w:pPr>
        <w:pStyle w:val="24"/>
        <w:numPr>
          <w:ilvl w:val="0"/>
          <w:numId w:val="4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推行路径：字母审定后如何公布？字典编纂、师范传习、教科书审定、民众识字班，孰先孰后？</w:t>
      </w:r>
    </w:p>
    <w:p w14:paraId="67F4D93F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社会学家 Jeffrey Weng 指出，今日所称”普通话”并非任何方言的自然演变，而是二十世纪初语言改革者有意识设计的全新国家标准语言；1913年本会审定的”老国音”约百分之九十的字音取自北京官话，却又掺入入声等吴语音类，构成一个”荟萃全国音素之抽象拼合体”</w:t>
      </w:r>
      <w:r>
        <w:rPr>
          <w:rFonts w:hint="eastAsia" w:ascii="Times New Roman" w:hAnsi="Times New Roman" w:eastAsia="微软雅黑"/>
          <w:b w:val="0"/>
          <w:bCs w:val="0"/>
          <w:color w:val="auto"/>
          <w:lang w:eastAsia="zh-CN"/>
        </w:rPr>
        <w:t>。</w:t>
      </w:r>
      <w:r>
        <w:rPr>
          <w:rFonts w:hint="eastAsia" w:ascii="Times New Roman" w:hAnsi="Times New Roman" w:eastAsia="微软雅黑"/>
          <w:b w:val="0"/>
          <w:bCs w:val="0"/>
          <w:color w:val="auto"/>
          <w:lang w:val="en-US" w:eastAsia="zh-CN"/>
        </w:rPr>
        <w:t>因为</w:t>
      </w:r>
      <w:r>
        <w:rPr>
          <w:rFonts w:ascii="Times New Roman" w:hAnsi="Times New Roman" w:eastAsia="微软雅黑"/>
          <w:b w:val="0"/>
          <w:bCs w:val="0"/>
          <w:color w:val="auto"/>
        </w:rPr>
        <w:t>它不属于任何地方，因此才能属于”所有地方与无一特定地方”（Weng, 2018, pp. 622–623）。这一设计背后是一种全新的社会组织愿景：让官方语言从士绅垄断走向全民可及。</w:t>
      </w:r>
    </w:p>
    <w:p w14:paraId="54B7B995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代表在会场上对每一个音类、每一个字母的抉择，实质上都是在回答：这个新国家，打算让什么样的人、以什么样的代价，进入文化与教育之门？</w:t>
      </w:r>
    </w:p>
    <w:p w14:paraId="778ADD86">
      <w:pPr>
        <w:rPr>
          <w:rFonts w:ascii="Times New Roman" w:hAnsi="Times New Roman" w:eastAsia="微软雅黑"/>
          <w:b w:val="0"/>
          <w:bCs w:val="0"/>
          <w:color w:val="auto"/>
        </w:rPr>
      </w:pPr>
    </w:p>
    <w:bookmarkEnd w:id="7"/>
    <w:p w14:paraId="6B0AF24F">
      <w:pPr>
        <w:pStyle w:val="4"/>
        <w:rPr>
          <w:rFonts w:ascii="Times New Roman" w:hAnsi="Times New Roman" w:eastAsia="微软雅黑"/>
          <w:b w:val="0"/>
          <w:bCs w:val="0"/>
          <w:color w:val="auto"/>
        </w:rPr>
      </w:pPr>
      <w:bookmarkStart w:id="8" w:name="六议事规则罗伯特议事规则及其历史适配"/>
      <w:r>
        <w:rPr>
          <w:rFonts w:ascii="Times New Roman" w:hAnsi="Times New Roman" w:eastAsia="微软雅黑"/>
          <w:b w:val="0"/>
          <w:bCs w:val="0"/>
          <w:color w:val="auto"/>
        </w:rPr>
        <w:t>六、议事规则：罗伯特议事规则及其历史适配</w:t>
      </w:r>
    </w:p>
    <w:p w14:paraId="33E48EB5">
      <w:pPr>
        <w:pStyle w:val="5"/>
        <w:rPr>
          <w:rFonts w:ascii="Times New Roman" w:hAnsi="Times New Roman" w:eastAsia="微软雅黑"/>
          <w:b w:val="0"/>
          <w:bCs w:val="0"/>
          <w:color w:val="auto"/>
        </w:rPr>
      </w:pPr>
      <w:bookmarkStart w:id="9" w:name="基本框架"/>
      <w:r>
        <w:rPr>
          <w:rFonts w:ascii="Times New Roman" w:hAnsi="Times New Roman" w:eastAsia="微软雅黑"/>
          <w:b w:val="0"/>
          <w:bCs w:val="0"/>
          <w:color w:val="auto"/>
        </w:rPr>
        <w:t>6.1 基本框架</w:t>
      </w:r>
    </w:p>
    <w:p w14:paraId="174BAA72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本委员会以罗伯特议事规则（Robert’s Rules of Order）之模联通行版本为基本议事框架（Robert et al., 2011），标准流程如下：</w:t>
      </w:r>
    </w:p>
    <w:p w14:paraId="13FA7CD7">
      <w:pPr>
        <w:pStyle w:val="24"/>
        <w:numPr>
          <w:ilvl w:val="0"/>
          <w:numId w:val="5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点名（Roll Call）：主席按席位唱名，代表举牌答”出席”；</w:t>
      </w:r>
    </w:p>
    <w:p w14:paraId="4EC58C6E">
      <w:pPr>
        <w:pStyle w:val="24"/>
        <w:numPr>
          <w:ilvl w:val="0"/>
          <w:numId w:val="5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设定议程（Setting the Agenda）：动议确定议题一、二之讨论顺序，简单多数通过；</w:t>
      </w:r>
    </w:p>
    <w:p w14:paraId="6FD307A6">
      <w:pPr>
        <w:pStyle w:val="24"/>
        <w:numPr>
          <w:ilvl w:val="0"/>
          <w:numId w:val="5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主发言名单（General Speakers’ List）：各席依次陈述立场，可动议调整发言时间；</w:t>
      </w:r>
    </w:p>
    <w:p w14:paraId="7CDBB92E">
      <w:pPr>
        <w:pStyle w:val="24"/>
        <w:numPr>
          <w:ilvl w:val="0"/>
          <w:numId w:val="5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动议与磋商：有主持核心磋商（Moderated Caucus，须指定主题、总时长与单人发言时长）</w:t>
      </w:r>
      <w:r>
        <w:rPr>
          <w:rFonts w:hint="eastAsia" w:ascii="Times New Roman" w:hAnsi="Times New Roman" w:eastAsia="微软雅黑"/>
          <w:b w:val="0"/>
          <w:bCs w:val="0"/>
          <w:color w:val="auto"/>
          <w:lang w:eastAsia="zh-CN"/>
        </w:rPr>
        <w:t>、</w:t>
      </w:r>
      <w:r>
        <w:rPr>
          <w:rFonts w:ascii="Times New Roman" w:hAnsi="Times New Roman" w:eastAsia="微软雅黑"/>
          <w:b w:val="0"/>
          <w:bCs w:val="0"/>
          <w:color w:val="auto"/>
        </w:rPr>
        <w:t>自由磋商（Unmoderated Caucus）</w:t>
      </w:r>
      <w:r>
        <w:rPr>
          <w:rFonts w:hint="eastAsia" w:ascii="Times New Roman" w:hAnsi="Times New Roman" w:eastAsia="微软雅黑"/>
          <w:b w:val="0"/>
          <w:bCs w:val="0"/>
          <w:color w:val="auto"/>
          <w:lang w:val="en-US" w:eastAsia="zh-CN"/>
        </w:rPr>
        <w:t>与自由辩论（Free Debate）</w:t>
      </w:r>
      <w:r>
        <w:rPr>
          <w:rFonts w:ascii="Times New Roman" w:hAnsi="Times New Roman" w:eastAsia="微软雅黑"/>
          <w:b w:val="0"/>
          <w:bCs w:val="0"/>
          <w:color w:val="auto"/>
        </w:rPr>
        <w:t>交替推进；</w:t>
      </w:r>
    </w:p>
    <w:p w14:paraId="614C5FB7">
      <w:pPr>
        <w:pStyle w:val="24"/>
        <w:numPr>
          <w:ilvl w:val="0"/>
          <w:numId w:val="5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文件阶段：自由磋商中产生工作文件（Working Paper），成熟后升为决议草案（Draft Resolution），可提友好/非友好修正案；</w:t>
      </w:r>
    </w:p>
    <w:p w14:paraId="05A7A1B6">
      <w:pPr>
        <w:pStyle w:val="24"/>
        <w:numPr>
          <w:ilvl w:val="0"/>
          <w:numId w:val="5"/>
        </w:numPr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结束辩论与表决：动议结束辩论获三分之二多数后，对修正案与决议草案逐案表决；程序事项与实质事项以简单多数通过，表决方式之变更等关键程序事项以三分之二多数通过。</w:t>
      </w:r>
    </w:p>
    <w:bookmarkEnd w:id="9"/>
    <w:p w14:paraId="427E2E97">
      <w:pPr>
        <w:pStyle w:val="5"/>
        <w:rPr>
          <w:rFonts w:ascii="Times New Roman" w:hAnsi="Times New Roman" w:eastAsia="微软雅黑"/>
          <w:b w:val="0"/>
          <w:bCs w:val="0"/>
          <w:color w:val="auto"/>
        </w:rPr>
      </w:pPr>
      <w:bookmarkStart w:id="10" w:name="历史适配机制甲一省一票表决制"/>
      <w:r>
        <w:rPr>
          <w:rFonts w:ascii="Times New Roman" w:hAnsi="Times New Roman" w:eastAsia="微软雅黑"/>
          <w:b w:val="0"/>
          <w:bCs w:val="0"/>
          <w:color w:val="auto"/>
        </w:rPr>
        <w:t>6.2 历史适配机制甲：“一省一票”表决制</w:t>
      </w:r>
    </w:p>
    <w:p w14:paraId="76A0A257">
      <w:pPr>
        <w:pStyle w:val="23"/>
        <w:rPr>
          <w:rFonts w:hint="eastAsia" w:ascii="Times New Roman" w:hAnsi="Times New Roman" w:eastAsia="微软雅黑"/>
          <w:b w:val="0"/>
          <w:bCs w:val="0"/>
          <w:color w:val="auto"/>
          <w:lang w:eastAsia="zh-CN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凡实体事项之表决，不以代表个人计票，而以省区（及蒙古、西藏）为一表决单位，每单位一票，全场共计十三票；专家代表按其省籍计入本省团（王照计入直隶、吴稚晖计入江苏、朱希祖计入浙江），与地方代表先行内部协调后投出一票。此机制再现1913年会场”以省为一表决权，以最多数为会中审定之读音”的历史程序（中国大百科全书总编辑委员会，2023）。正如历史上王照与汪荣宝之争</w:t>
      </w:r>
      <w:r>
        <w:rPr>
          <w:rFonts w:hint="eastAsia" w:ascii="Times New Roman" w:hAnsi="Times New Roman" w:eastAsia="微软雅黑"/>
          <w:b w:val="0"/>
          <w:bCs w:val="0"/>
          <w:color w:val="auto"/>
          <w:lang w:eastAsia="zh-CN"/>
        </w:rPr>
        <w:t>，</w:t>
      </w:r>
      <w:r>
        <w:rPr>
          <w:rFonts w:ascii="Times New Roman" w:hAnsi="Times New Roman" w:eastAsia="微软雅黑"/>
          <w:b w:val="0"/>
          <w:bCs w:val="0"/>
          <w:color w:val="auto"/>
        </w:rPr>
        <w:t>代表若欲改采一人一票，可于会期中提出程序性动议，经三分之二多数通过后变更</w:t>
      </w:r>
      <w:r>
        <w:rPr>
          <w:rFonts w:hint="eastAsia" w:ascii="Times New Roman" w:hAnsi="Times New Roman" w:eastAsia="微软雅黑"/>
          <w:b w:val="0"/>
          <w:bCs w:val="0"/>
          <w:color w:val="auto"/>
          <w:lang w:eastAsia="zh-CN"/>
        </w:rPr>
        <w:t>。</w:t>
      </w:r>
    </w:p>
    <w:bookmarkEnd w:id="10"/>
    <w:p w14:paraId="059ECE68">
      <w:pPr>
        <w:pStyle w:val="5"/>
        <w:rPr>
          <w:rFonts w:ascii="Times New Roman" w:hAnsi="Times New Roman" w:eastAsia="微软雅黑"/>
          <w:b w:val="0"/>
          <w:bCs w:val="0"/>
          <w:color w:val="auto"/>
        </w:rPr>
      </w:pPr>
      <w:bookmarkStart w:id="11" w:name="历史适配机制乙逐字审定示范程序"/>
      <w:r>
        <w:rPr>
          <w:rFonts w:ascii="Times New Roman" w:hAnsi="Times New Roman" w:eastAsia="微软雅黑"/>
          <w:b w:val="0"/>
          <w:bCs w:val="0"/>
          <w:color w:val="auto"/>
        </w:rPr>
        <w:t>6.3 历史适配机制乙：“逐字审定”示范程序</w:t>
      </w:r>
    </w:p>
    <w:p w14:paraId="653C57BF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议题一表决之前，主席团将组织一场示范性审音：就《备审字类》节选字组（含入声字组、浊音声母字组、尖团字组），按历史程序逐音表决——各表决单位预先商定注音，由记音员公较多寡，以最多数为审定之音；异议者获三席以上附议，得提请各审音代表协议修正。此环节旨在让代表亲身体会”人造国音”如何在逐字表决中被拼合出来，为其后《国音审定决议案》之条款撰写提供实证基础。</w:t>
      </w:r>
    </w:p>
    <w:bookmarkEnd w:id="11"/>
    <w:p w14:paraId="790E40EA">
      <w:pPr>
        <w:pStyle w:val="5"/>
        <w:rPr>
          <w:rFonts w:ascii="Times New Roman" w:hAnsi="Times New Roman" w:eastAsia="微软雅黑"/>
          <w:b w:val="0"/>
          <w:bCs w:val="0"/>
          <w:color w:val="auto"/>
        </w:rPr>
      </w:pPr>
      <w:bookmarkStart w:id="12" w:name="危机机制"/>
      <w:r>
        <w:rPr>
          <w:rFonts w:ascii="Times New Roman" w:hAnsi="Times New Roman" w:eastAsia="微软雅黑"/>
          <w:b w:val="0"/>
          <w:bCs w:val="0"/>
          <w:color w:val="auto"/>
        </w:rPr>
        <w:t>6.4 危机机制</w:t>
      </w:r>
    </w:p>
    <w:p w14:paraId="479BF229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主席团将依历史进程择机发布危机（如：副议长率众赴教育部请愿，称本会已成”苏浙读音统一会”，以辞职相迫；又如：会场上因方音误听引发肢体冲突、某席代表愤而退会）。代表须以指令、联合声明或程序动议即时回应；危机之处理结果将计入成果评估。</w:t>
      </w:r>
    </w:p>
    <w:bookmarkEnd w:id="12"/>
    <w:p w14:paraId="55713718">
      <w:pPr>
        <w:pStyle w:val="5"/>
        <w:rPr>
          <w:rFonts w:ascii="Times New Roman" w:hAnsi="Times New Roman" w:eastAsia="微软雅黑"/>
          <w:b w:val="0"/>
          <w:bCs w:val="0"/>
          <w:color w:val="auto"/>
        </w:rPr>
      </w:pPr>
      <w:bookmarkStart w:id="13" w:name="立场文件要求"/>
      <w:r>
        <w:rPr>
          <w:rFonts w:ascii="Times New Roman" w:hAnsi="Times New Roman" w:eastAsia="微软雅黑"/>
          <w:b w:val="0"/>
          <w:bCs w:val="0"/>
          <w:color w:val="auto"/>
        </w:rPr>
        <w:t>6.5 立场文件要求</w:t>
      </w:r>
    </w:p>
    <w:p w14:paraId="7CF391AB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每席代表须于会前提交立场文件一份，内容包括：本席之方音或学术背景简述；对议题一（标准音性质、表决机制、音类存废）之立场；对议题二（字母路线、字母职能）之立场；拟联合之席位与拟提之条款方向。</w:t>
      </w:r>
    </w:p>
    <w:p w14:paraId="7130847B">
      <w:pPr>
        <w:rPr>
          <w:rFonts w:ascii="Times New Roman" w:hAnsi="Times New Roman" w:eastAsia="微软雅黑"/>
          <w:b w:val="0"/>
          <w:bCs w:val="0"/>
          <w:color w:val="auto"/>
        </w:rPr>
      </w:pPr>
    </w:p>
    <w:bookmarkEnd w:id="8"/>
    <w:bookmarkEnd w:id="13"/>
    <w:p w14:paraId="1CF483CA">
      <w:pPr>
        <w:pStyle w:val="4"/>
        <w:rPr>
          <w:rFonts w:ascii="Times New Roman" w:hAnsi="Times New Roman" w:eastAsia="微软雅黑"/>
          <w:b w:val="0"/>
          <w:bCs w:val="0"/>
          <w:color w:val="auto"/>
        </w:rPr>
      </w:pPr>
      <w:bookmarkStart w:id="14" w:name="七结语"/>
      <w:r>
        <w:rPr>
          <w:rFonts w:ascii="Times New Roman" w:hAnsi="Times New Roman" w:eastAsia="微软雅黑"/>
          <w:b w:val="0"/>
          <w:bCs w:val="0"/>
          <w:color w:val="auto"/>
        </w:rPr>
        <w:t>七、结语</w:t>
      </w:r>
    </w:p>
    <w:p w14:paraId="6F94BD92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1913年的那场会议，最终在三个月的争吵乃至肢体冲突中，审定了六千余字的”老国音”、采定了三十九个注音字母</w:t>
      </w:r>
      <w:r>
        <w:rPr>
          <w:rFonts w:hint="eastAsia" w:ascii="Times New Roman" w:hAnsi="Times New Roman" w:eastAsia="微软雅黑"/>
          <w:b w:val="0"/>
          <w:bCs w:val="0"/>
          <w:color w:val="auto"/>
          <w:lang w:eastAsia="zh-CN"/>
        </w:rPr>
        <w:t>，</w:t>
      </w:r>
      <w:r>
        <w:rPr>
          <w:rFonts w:hint="eastAsia" w:ascii="Times New Roman" w:hAnsi="Times New Roman" w:eastAsia="微软雅黑"/>
          <w:b w:val="0"/>
          <w:bCs w:val="0"/>
          <w:color w:val="auto"/>
          <w:lang w:val="en-US" w:eastAsia="zh-CN"/>
        </w:rPr>
        <w:t>最终创造出</w:t>
      </w:r>
      <w:r>
        <w:rPr>
          <w:rFonts w:ascii="Times New Roman" w:hAnsi="Times New Roman" w:eastAsia="微软雅黑"/>
          <w:b w:val="0"/>
          <w:bCs w:val="0"/>
          <w:color w:val="auto"/>
        </w:rPr>
        <w:t>一个无人以之为母语的人造标准音，一套”伺候汉字”的注音符号。其后1918年字母公布、1919年《国音字典》刊行、1932年”新国音”改以北京音为准，国语的面貌仍在历史中不断重塑（Weng, 2018；黎锦熙，1934）。而此刻，历史停在1913年2月15日的北京：章程在手，各派环伺，一切尚未决定。代表诸君，中国读什么音、用什么字母，请表决。</w:t>
      </w:r>
    </w:p>
    <w:p w14:paraId="09D0D135">
      <w:pPr>
        <w:rPr>
          <w:rFonts w:ascii="Times New Roman" w:hAnsi="Times New Roman" w:eastAsia="微软雅黑"/>
          <w:b w:val="0"/>
          <w:bCs w:val="0"/>
          <w:color w:val="auto"/>
        </w:rPr>
      </w:pPr>
    </w:p>
    <w:bookmarkEnd w:id="14"/>
    <w:p w14:paraId="15F31D34">
      <w:pPr>
        <w:pStyle w:val="4"/>
        <w:rPr>
          <w:rFonts w:ascii="Times New Roman" w:hAnsi="Times New Roman" w:eastAsia="微软雅黑"/>
          <w:b w:val="0"/>
          <w:bCs w:val="0"/>
          <w:color w:val="auto"/>
        </w:rPr>
      </w:pPr>
      <w:bookmarkStart w:id="15" w:name="参考文献"/>
      <w:r>
        <w:rPr>
          <w:rFonts w:ascii="Times New Roman" w:hAnsi="Times New Roman" w:eastAsia="微软雅黑"/>
          <w:b w:val="0"/>
          <w:bCs w:val="0"/>
          <w:color w:val="auto"/>
        </w:rPr>
        <w:t>参考文献</w:t>
      </w:r>
    </w:p>
    <w:p w14:paraId="7423AB58">
      <w:pPr>
        <w:pStyle w:val="2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 xml:space="preserve">Chen, P. (1999). </w:t>
      </w:r>
      <w:r>
        <w:rPr>
          <w:rFonts w:ascii="Times New Roman" w:hAnsi="Times New Roman" w:eastAsia="微软雅黑"/>
          <w:b w:val="0"/>
          <w:bCs w:val="0"/>
          <w:i/>
          <w:iCs/>
          <w:color w:val="auto"/>
        </w:rPr>
        <w:t>Modern Chinese: History and sociolinguistics</w:t>
      </w:r>
      <w:r>
        <w:rPr>
          <w:rFonts w:ascii="Times New Roman" w:hAnsi="Times New Roman" w:eastAsia="微软雅黑"/>
          <w:b w:val="0"/>
          <w:bCs w:val="0"/>
          <w:color w:val="auto"/>
        </w:rPr>
        <w:t>. Cambridge University Press.</w:t>
      </w:r>
    </w:p>
    <w:p w14:paraId="792626A3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 xml:space="preserve">Kaske, E. (2008). </w:t>
      </w:r>
      <w:r>
        <w:rPr>
          <w:rFonts w:ascii="Times New Roman" w:hAnsi="Times New Roman" w:eastAsia="微软雅黑"/>
          <w:b w:val="0"/>
          <w:bCs w:val="0"/>
          <w:i/>
          <w:iCs/>
          <w:color w:val="auto"/>
        </w:rPr>
        <w:t>The politics of language in Chinese education, 1895–1919</w:t>
      </w:r>
      <w:r>
        <w:rPr>
          <w:rFonts w:ascii="Times New Roman" w:hAnsi="Times New Roman" w:eastAsia="微软雅黑"/>
          <w:b w:val="0"/>
          <w:bCs w:val="0"/>
          <w:color w:val="auto"/>
        </w:rPr>
        <w:t>. Brill.</w:t>
      </w:r>
    </w:p>
    <w:p w14:paraId="7ACB8186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 xml:space="preserve">Ramsey, S. R. (1987). </w:t>
      </w:r>
      <w:r>
        <w:rPr>
          <w:rFonts w:ascii="Times New Roman" w:hAnsi="Times New Roman" w:eastAsia="微软雅黑"/>
          <w:b w:val="0"/>
          <w:bCs w:val="0"/>
          <w:i/>
          <w:iCs/>
          <w:color w:val="auto"/>
        </w:rPr>
        <w:t>The languages of China</w:t>
      </w:r>
      <w:r>
        <w:rPr>
          <w:rFonts w:ascii="Times New Roman" w:hAnsi="Times New Roman" w:eastAsia="微软雅黑"/>
          <w:b w:val="0"/>
          <w:bCs w:val="0"/>
          <w:color w:val="auto"/>
        </w:rPr>
        <w:t xml:space="preserve"> (2nd ed.). Princeton University Press.</w:t>
      </w:r>
    </w:p>
    <w:p w14:paraId="79C85766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 xml:space="preserve">Robert, H. M., III, Honemann, D. H., &amp; Balch, T. J. (2011). </w:t>
      </w:r>
      <w:r>
        <w:rPr>
          <w:rFonts w:ascii="Times New Roman" w:hAnsi="Times New Roman" w:eastAsia="微软雅黑"/>
          <w:b w:val="0"/>
          <w:bCs w:val="0"/>
          <w:i/>
          <w:iCs/>
          <w:color w:val="auto"/>
        </w:rPr>
        <w:t>Robert’s rules of order newly revised</w:t>
      </w:r>
      <w:r>
        <w:rPr>
          <w:rFonts w:ascii="Times New Roman" w:hAnsi="Times New Roman" w:eastAsia="微软雅黑"/>
          <w:b w:val="0"/>
          <w:bCs w:val="0"/>
          <w:color w:val="auto"/>
        </w:rPr>
        <w:t xml:space="preserve"> (11th ed.). Da Capo Press.</w:t>
      </w:r>
    </w:p>
    <w:p w14:paraId="70400C82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 xml:space="preserve">Simmons, R. V. (2017). Whence came Mandarin? Qing Guanhua, the Beijing dialect, and the national language standard in early Republican China. </w:t>
      </w:r>
      <w:r>
        <w:rPr>
          <w:rFonts w:ascii="Times New Roman" w:hAnsi="Times New Roman" w:eastAsia="微软雅黑"/>
          <w:b w:val="0"/>
          <w:bCs w:val="0"/>
          <w:i/>
          <w:iCs/>
          <w:color w:val="auto"/>
        </w:rPr>
        <w:t>Journal of the American Oriental Society</w:t>
      </w:r>
      <w:r>
        <w:rPr>
          <w:rFonts w:ascii="Times New Roman" w:hAnsi="Times New Roman" w:eastAsia="微软雅黑"/>
          <w:b w:val="0"/>
          <w:bCs w:val="0"/>
          <w:color w:val="auto"/>
        </w:rPr>
        <w:t>, 137(1), 63–88.</w:t>
      </w:r>
    </w:p>
    <w:p w14:paraId="3AC2E8F8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 xml:space="preserve">Weng, J. (2018). What is Mandarin? The social project of language standardization in early Republican China. </w:t>
      </w:r>
      <w:r>
        <w:rPr>
          <w:rFonts w:ascii="Times New Roman" w:hAnsi="Times New Roman" w:eastAsia="微软雅黑"/>
          <w:b w:val="0"/>
          <w:bCs w:val="0"/>
          <w:i/>
          <w:iCs/>
          <w:color w:val="auto"/>
        </w:rPr>
        <w:t>The Journal of Asian Studies</w:t>
      </w:r>
      <w:r>
        <w:rPr>
          <w:rFonts w:ascii="Times New Roman" w:hAnsi="Times New Roman" w:eastAsia="微软雅黑"/>
          <w:b w:val="0"/>
          <w:bCs w:val="0"/>
          <w:color w:val="auto"/>
        </w:rPr>
        <w:t>, 77(3), 611–633. https://doi.org/10.1017/S0021911818000487</w:t>
      </w:r>
    </w:p>
    <w:p w14:paraId="4106B28B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黎锦熙. (1934). 《国语运动史纲》. 商务印书馆.</w:t>
      </w:r>
    </w:p>
    <w:p w14:paraId="2B080042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鲁迅. (2005). 门外文谈. 载《鲁迅全集》（第6卷）. 人民文学出版社. （原作发表于1934年）</w:t>
      </w:r>
    </w:p>
    <w:p w14:paraId="76FC0B38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 xml:space="preserve">中国大百科全书总编辑委员会. (2023). 读音统一会. 《中国大百科全书》第三版网络版. </w:t>
      </w:r>
      <w:r>
        <w:rPr>
          <w:rFonts w:hint="eastAsia" w:ascii="Times New Roman" w:hAnsi="Times New Roman" w:eastAsia="微软雅黑"/>
          <w:b w:val="0"/>
          <w:bCs w:val="0"/>
          <w:color w:val="auto"/>
        </w:rPr>
        <w:t>https://www.zgbk.com/ecph/words?SiteID=1&amp;ID=4MAjXL&amp;Type=bkzyb&amp;SubID=44766</w:t>
      </w:r>
    </w:p>
    <w:p w14:paraId="57CD0D08">
      <w:pPr>
        <w:pStyle w:val="3"/>
        <w:rPr>
          <w:rFonts w:ascii="Times New Roman" w:hAnsi="Times New Roman" w:eastAsia="微软雅黑"/>
          <w:b w:val="0"/>
          <w:bCs w:val="0"/>
          <w:color w:val="auto"/>
        </w:rPr>
      </w:pPr>
      <w:r>
        <w:rPr>
          <w:rFonts w:ascii="Times New Roman" w:hAnsi="Times New Roman" w:eastAsia="微软雅黑"/>
          <w:b w:val="0"/>
          <w:bCs w:val="0"/>
          <w:color w:val="auto"/>
        </w:rPr>
        <w:t>朱希祖. (2012). 《朱希祖日记》. 中华书局.</w:t>
      </w:r>
    </w:p>
    <w:bookmarkEnd w:id="0"/>
    <w:bookmarkEnd w:id="15"/>
    <w:sect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Times New Roman (标题 CS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•"/>
      <w:lvlJc w:val="left"/>
      <w:pPr>
        <w:ind w:left="720" w:hanging="480"/>
      </w:pPr>
    </w:lvl>
    <w:lvl w:ilvl="1" w:tentative="0">
      <w:start w:val="0"/>
      <w:numFmt w:val="bullet"/>
      <w:lvlText w:val="–"/>
      <w:lvlJc w:val="left"/>
      <w:pPr>
        <w:ind w:left="1440" w:hanging="480"/>
      </w:pPr>
    </w:lvl>
    <w:lvl w:ilvl="2" w:tentative="0">
      <w:start w:val="0"/>
      <w:numFmt w:val="bullet"/>
      <w:lvlText w:val="•"/>
      <w:lvlJc w:val="left"/>
      <w:pPr>
        <w:ind w:left="2160" w:hanging="480"/>
      </w:pPr>
    </w:lvl>
    <w:lvl w:ilvl="3" w:tentative="0">
      <w:start w:val="0"/>
      <w:numFmt w:val="bullet"/>
      <w:lvlText w:val="–"/>
      <w:lvlJc w:val="left"/>
      <w:pPr>
        <w:ind w:left="2880" w:hanging="480"/>
      </w:pPr>
    </w:lvl>
    <w:lvl w:ilvl="4" w:tentative="0">
      <w:start w:val="0"/>
      <w:numFmt w:val="bullet"/>
      <w:lvlText w:val="•"/>
      <w:lvlJc w:val="left"/>
      <w:pPr>
        <w:ind w:left="3600" w:hanging="480"/>
      </w:pPr>
    </w:lvl>
    <w:lvl w:ilvl="5" w:tentative="0">
      <w:start w:val="0"/>
      <w:numFmt w:val="bullet"/>
      <w:lvlText w:val="–"/>
      <w:lvlJc w:val="left"/>
      <w:pPr>
        <w:ind w:left="4320" w:hanging="480"/>
      </w:pPr>
    </w:lvl>
    <w:lvl w:ilvl="6" w:tentative="0">
      <w:start w:val="0"/>
      <w:numFmt w:val="bullet"/>
      <w:lvlText w:val="•"/>
      <w:lvlJc w:val="left"/>
      <w:pPr>
        <w:ind w:left="5040" w:hanging="480"/>
      </w:pPr>
    </w:lvl>
    <w:lvl w:ilvl="7" w:tentative="0">
      <w:start w:val="0"/>
      <w:numFmt w:val="bullet"/>
      <w:lvlText w:val="–"/>
      <w:lvlJc w:val="left"/>
      <w:pPr>
        <w:ind w:left="5760" w:hanging="480"/>
      </w:pPr>
    </w:lvl>
    <w:lvl w:ilvl="8" w:tentative="0">
      <w:start w:val="0"/>
      <w:numFmt w:val="bullet"/>
      <w:lvlText w:val="•"/>
      <w:lvlJc w:val="left"/>
      <w:pPr>
        <w:ind w:left="6480" w:hanging="480"/>
      </w:pPr>
    </w:lvl>
  </w:abstractNum>
  <w:abstractNum w:abstractNumId="1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480"/>
      </w:pPr>
    </w:lvl>
    <w:lvl w:ilvl="1" w:tentative="0">
      <w:start w:val="1"/>
      <w:numFmt w:val="decimal"/>
      <w:lvlText w:val="%2."/>
      <w:lvlJc w:val="left"/>
      <w:pPr>
        <w:ind w:left="1440" w:hanging="480"/>
      </w:pPr>
    </w:lvl>
    <w:lvl w:ilvl="2" w:tentative="0">
      <w:start w:val="1"/>
      <w:numFmt w:val="decimal"/>
      <w:lvlText w:val="%3."/>
      <w:lvlJc w:val="left"/>
      <w:pPr>
        <w:ind w:left="2160" w:hanging="480"/>
      </w:pPr>
    </w:lvl>
    <w:lvl w:ilvl="3" w:tentative="0">
      <w:start w:val="1"/>
      <w:numFmt w:val="decimal"/>
      <w:lvlText w:val="%4."/>
      <w:lvlJc w:val="left"/>
      <w:pPr>
        <w:ind w:left="2880" w:hanging="480"/>
      </w:pPr>
    </w:lvl>
    <w:lvl w:ilvl="4" w:tentative="0">
      <w:start w:val="1"/>
      <w:numFmt w:val="decimal"/>
      <w:lvlText w:val="%5."/>
      <w:lvlJc w:val="left"/>
      <w:pPr>
        <w:ind w:left="3600" w:hanging="480"/>
      </w:pPr>
    </w:lvl>
    <w:lvl w:ilvl="5" w:tentative="0">
      <w:start w:val="1"/>
      <w:numFmt w:val="decimal"/>
      <w:lvlText w:val="%6."/>
      <w:lvlJc w:val="left"/>
      <w:pPr>
        <w:ind w:left="4320" w:hanging="480"/>
      </w:pPr>
    </w:lvl>
    <w:lvl w:ilvl="6" w:tentative="0">
      <w:start w:val="1"/>
      <w:numFmt w:val="decimal"/>
      <w:lvlText w:val="%7."/>
      <w:lvlJc w:val="left"/>
      <w:pPr>
        <w:ind w:left="5040" w:hanging="480"/>
      </w:pPr>
    </w:lvl>
    <w:lvl w:ilvl="7" w:tentative="0">
      <w:start w:val="1"/>
      <w:numFmt w:val="decimal"/>
      <w:lvlText w:val="%8."/>
      <w:lvlJc w:val="left"/>
      <w:pPr>
        <w:ind w:left="5760" w:hanging="480"/>
      </w:pPr>
    </w:lvl>
    <w:lvl w:ilvl="8" w:tentative="0">
      <w:start w:val="1"/>
      <w:numFmt w:val="decimal"/>
      <w:lvlText w:val="%9."/>
      <w:lvlJc w:val="left"/>
      <w:pPr>
        <w:ind w:left="6480" w:hanging="480"/>
      </w:pPr>
    </w:lvl>
  </w:abstractNum>
  <w:abstractNum w:abstractNumId="2">
    <w:nsid w:val="00A99416"/>
    <w:multiLevelType w:val="multilevel"/>
    <w:tmpl w:val="00A99416"/>
    <w:lvl w:ilvl="0" w:tentative="0">
      <w:start w:val="6"/>
      <w:numFmt w:val="decimal"/>
      <w:lvlText w:val="%1."/>
      <w:lvlJc w:val="left"/>
      <w:pPr>
        <w:ind w:left="720" w:hanging="480"/>
      </w:pPr>
    </w:lvl>
    <w:lvl w:ilvl="1" w:tentative="0">
      <w:start w:val="6"/>
      <w:numFmt w:val="decimal"/>
      <w:lvlText w:val="%2."/>
      <w:lvlJc w:val="left"/>
      <w:pPr>
        <w:ind w:left="1440" w:hanging="480"/>
      </w:pPr>
    </w:lvl>
    <w:lvl w:ilvl="2" w:tentative="0">
      <w:start w:val="6"/>
      <w:numFmt w:val="decimal"/>
      <w:lvlText w:val="%3."/>
      <w:lvlJc w:val="left"/>
      <w:pPr>
        <w:ind w:left="2160" w:hanging="480"/>
      </w:pPr>
    </w:lvl>
    <w:lvl w:ilvl="3" w:tentative="0">
      <w:start w:val="6"/>
      <w:numFmt w:val="decimal"/>
      <w:lvlText w:val="%4."/>
      <w:lvlJc w:val="left"/>
      <w:pPr>
        <w:ind w:left="2880" w:hanging="480"/>
      </w:pPr>
    </w:lvl>
    <w:lvl w:ilvl="4" w:tentative="0">
      <w:start w:val="6"/>
      <w:numFmt w:val="decimal"/>
      <w:lvlText w:val="%5."/>
      <w:lvlJc w:val="left"/>
      <w:pPr>
        <w:ind w:left="3600" w:hanging="480"/>
      </w:pPr>
    </w:lvl>
    <w:lvl w:ilvl="5" w:tentative="0">
      <w:start w:val="6"/>
      <w:numFmt w:val="decimal"/>
      <w:lvlText w:val="%6."/>
      <w:lvlJc w:val="left"/>
      <w:pPr>
        <w:ind w:left="4320" w:hanging="480"/>
      </w:pPr>
    </w:lvl>
    <w:lvl w:ilvl="6" w:tentative="0">
      <w:start w:val="6"/>
      <w:numFmt w:val="decimal"/>
      <w:lvlText w:val="%7."/>
      <w:lvlJc w:val="left"/>
      <w:pPr>
        <w:ind w:left="5040" w:hanging="480"/>
      </w:pPr>
    </w:lvl>
    <w:lvl w:ilvl="7" w:tentative="0">
      <w:start w:val="6"/>
      <w:numFmt w:val="decimal"/>
      <w:lvlText w:val="%8."/>
      <w:lvlJc w:val="left"/>
      <w:pPr>
        <w:ind w:left="5760" w:hanging="480"/>
      </w:pPr>
    </w:lvl>
    <w:lvl w:ilvl="8" w:tentative="0">
      <w:start w:val="6"/>
      <w:numFmt w:val="decimal"/>
      <w:lvlText w:val="%9."/>
      <w:lvlJc w:val="left"/>
      <w:pPr>
        <w:ind w:left="648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23A54D93"/>
    <w:rsid w:val="40956EC5"/>
    <w:rsid w:val="7DE4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  <w:pPr>
      <w:spacing w:before="0" w:after="0" w:line="200" w:lineRule="exact"/>
    </w:pPr>
    <w:rPr>
      <w:sz w:val="18"/>
      <w:szCs w:val="18"/>
    </w:rPr>
  </w:style>
  <w:style w:type="character" w:styleId="20">
    <w:name w:val="Hyperlink"/>
    <w:basedOn w:val="21"/>
    <w:qFormat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Bibliography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qFormat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qFormat/>
    <w:uiPriority w:val="0"/>
  </w:style>
  <w:style w:type="paragraph" w:customStyle="1" w:styleId="34">
    <w:name w:val="Captioned Figure"/>
    <w:basedOn w:val="33"/>
    <w:qFormat/>
    <w:uiPriority w:val="0"/>
    <w:pPr>
      <w:keepNext/>
    </w:pPr>
  </w:style>
  <w:style w:type="character" w:customStyle="1" w:styleId="35">
    <w:name w:val="Verbatim Char"/>
    <w:basedOn w:val="21"/>
    <w:link w:val="36"/>
    <w:qFormat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qFormat/>
    <w:uiPriority w:val="0"/>
    <w:pPr>
      <w:wordWrap w:val="0"/>
    </w:pPr>
  </w:style>
  <w:style w:type="character" w:customStyle="1" w:styleId="37">
    <w:name w:val="Section Number"/>
    <w:basedOn w:val="21"/>
    <w:uiPriority w:val="0"/>
  </w:style>
  <w:style w:type="paragraph" w:customStyle="1" w:styleId="38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39">
    <w:name w:val="KeywordTok"/>
    <w:basedOn w:val="35"/>
    <w:qFormat/>
    <w:uiPriority w:val="0"/>
    <w:rPr>
      <w:b/>
      <w:color w:val="007020"/>
    </w:rPr>
  </w:style>
  <w:style w:type="character" w:customStyle="1" w:styleId="40">
    <w:name w:val="DataTypeTok"/>
    <w:basedOn w:val="35"/>
    <w:uiPriority w:val="0"/>
    <w:rPr>
      <w:color w:val="902000"/>
    </w:rPr>
  </w:style>
  <w:style w:type="character" w:customStyle="1" w:styleId="41">
    <w:name w:val="DecValTok"/>
    <w:basedOn w:val="35"/>
    <w:qFormat/>
    <w:uiPriority w:val="0"/>
    <w:rPr>
      <w:color w:val="40A070"/>
    </w:rPr>
  </w:style>
  <w:style w:type="character" w:customStyle="1" w:styleId="42">
    <w:name w:val="BaseNTok"/>
    <w:basedOn w:val="35"/>
    <w:uiPriority w:val="0"/>
    <w:rPr>
      <w:color w:val="40A070"/>
    </w:rPr>
  </w:style>
  <w:style w:type="character" w:customStyle="1" w:styleId="43">
    <w:name w:val="FloatTok"/>
    <w:basedOn w:val="35"/>
    <w:uiPriority w:val="0"/>
    <w:rPr>
      <w:color w:val="40A070"/>
    </w:rPr>
  </w:style>
  <w:style w:type="character" w:customStyle="1" w:styleId="44">
    <w:name w:val="ConstantTok"/>
    <w:basedOn w:val="35"/>
    <w:uiPriority w:val="0"/>
    <w:rPr>
      <w:color w:val="880000"/>
    </w:rPr>
  </w:style>
  <w:style w:type="character" w:customStyle="1" w:styleId="45">
    <w:name w:val="CharTok"/>
    <w:basedOn w:val="35"/>
    <w:uiPriority w:val="0"/>
    <w:rPr>
      <w:color w:val="4070A0"/>
    </w:rPr>
  </w:style>
  <w:style w:type="character" w:customStyle="1" w:styleId="46">
    <w:name w:val="SpecialCharTok"/>
    <w:basedOn w:val="35"/>
    <w:qFormat/>
    <w:uiPriority w:val="0"/>
    <w:rPr>
      <w:color w:val="4070A0"/>
    </w:rPr>
  </w:style>
  <w:style w:type="character" w:customStyle="1" w:styleId="47">
    <w:name w:val="StringTok"/>
    <w:basedOn w:val="35"/>
    <w:qFormat/>
    <w:uiPriority w:val="0"/>
    <w:rPr>
      <w:color w:val="4070A0"/>
    </w:rPr>
  </w:style>
  <w:style w:type="character" w:customStyle="1" w:styleId="48">
    <w:name w:val="VerbatimStringTok"/>
    <w:basedOn w:val="35"/>
    <w:qFormat/>
    <w:uiPriority w:val="0"/>
    <w:rPr>
      <w:color w:val="4070A0"/>
    </w:rPr>
  </w:style>
  <w:style w:type="character" w:customStyle="1" w:styleId="49">
    <w:name w:val="SpecialStringTok"/>
    <w:basedOn w:val="35"/>
    <w:uiPriority w:val="0"/>
    <w:rPr>
      <w:color w:val="BB6688"/>
    </w:rPr>
  </w:style>
  <w:style w:type="character" w:customStyle="1" w:styleId="50">
    <w:name w:val="ImportTok"/>
    <w:basedOn w:val="35"/>
    <w:uiPriority w:val="0"/>
    <w:rPr>
      <w:b/>
      <w:color w:val="008000"/>
    </w:rPr>
  </w:style>
  <w:style w:type="character" w:customStyle="1" w:styleId="51">
    <w:name w:val="CommentTok"/>
    <w:basedOn w:val="35"/>
    <w:uiPriority w:val="0"/>
    <w:rPr>
      <w:i/>
      <w:color w:val="60A0B0"/>
    </w:rPr>
  </w:style>
  <w:style w:type="character" w:customStyle="1" w:styleId="52">
    <w:name w:val="DocumentationTok"/>
    <w:basedOn w:val="35"/>
    <w:uiPriority w:val="0"/>
    <w:rPr>
      <w:i/>
      <w:color w:val="BA2121"/>
    </w:rPr>
  </w:style>
  <w:style w:type="character" w:customStyle="1" w:styleId="53">
    <w:name w:val="AnnotationTok"/>
    <w:basedOn w:val="35"/>
    <w:uiPriority w:val="0"/>
    <w:rPr>
      <w:b/>
      <w:i/>
      <w:color w:val="60A0B0"/>
    </w:rPr>
  </w:style>
  <w:style w:type="character" w:customStyle="1" w:styleId="54">
    <w:name w:val="CommentVarTok"/>
    <w:basedOn w:val="35"/>
    <w:qFormat/>
    <w:uiPriority w:val="0"/>
    <w:rPr>
      <w:b/>
      <w:i/>
      <w:color w:val="60A0B0"/>
    </w:rPr>
  </w:style>
  <w:style w:type="character" w:customStyle="1" w:styleId="55">
    <w:name w:val="OtherTok"/>
    <w:basedOn w:val="35"/>
    <w:qFormat/>
    <w:uiPriority w:val="0"/>
    <w:rPr>
      <w:color w:val="007020"/>
    </w:rPr>
  </w:style>
  <w:style w:type="character" w:customStyle="1" w:styleId="56">
    <w:name w:val="FunctionTok"/>
    <w:basedOn w:val="35"/>
    <w:uiPriority w:val="0"/>
    <w:rPr>
      <w:color w:val="06287E"/>
    </w:rPr>
  </w:style>
  <w:style w:type="character" w:customStyle="1" w:styleId="57">
    <w:name w:val="VariableTok"/>
    <w:basedOn w:val="35"/>
    <w:qFormat/>
    <w:uiPriority w:val="0"/>
    <w:rPr>
      <w:color w:val="19177C"/>
    </w:rPr>
  </w:style>
  <w:style w:type="character" w:customStyle="1" w:styleId="58">
    <w:name w:val="ControlFlowTok"/>
    <w:basedOn w:val="35"/>
    <w:uiPriority w:val="0"/>
    <w:rPr>
      <w:b/>
      <w:color w:val="007020"/>
    </w:rPr>
  </w:style>
  <w:style w:type="character" w:customStyle="1" w:styleId="59">
    <w:name w:val="OperatorTok"/>
    <w:basedOn w:val="35"/>
    <w:qFormat/>
    <w:uiPriority w:val="0"/>
    <w:rPr>
      <w:color w:val="666666"/>
    </w:rPr>
  </w:style>
  <w:style w:type="character" w:customStyle="1" w:styleId="60">
    <w:name w:val="BuiltInTok"/>
    <w:basedOn w:val="35"/>
    <w:qFormat/>
    <w:uiPriority w:val="0"/>
    <w:rPr>
      <w:color w:val="008000"/>
    </w:rPr>
  </w:style>
  <w:style w:type="character" w:customStyle="1" w:styleId="61">
    <w:name w:val="ExtensionTok"/>
    <w:basedOn w:val="35"/>
    <w:qFormat/>
    <w:uiPriority w:val="0"/>
  </w:style>
  <w:style w:type="character" w:customStyle="1" w:styleId="62">
    <w:name w:val="PreprocessorTok"/>
    <w:basedOn w:val="35"/>
    <w:qFormat/>
    <w:uiPriority w:val="0"/>
    <w:rPr>
      <w:color w:val="BC7A00"/>
    </w:rPr>
  </w:style>
  <w:style w:type="character" w:customStyle="1" w:styleId="63">
    <w:name w:val="AttributeTok"/>
    <w:basedOn w:val="35"/>
    <w:qFormat/>
    <w:uiPriority w:val="0"/>
    <w:rPr>
      <w:color w:val="7D9029"/>
    </w:rPr>
  </w:style>
  <w:style w:type="character" w:customStyle="1" w:styleId="64">
    <w:name w:val="RegionMarkerTok"/>
    <w:basedOn w:val="35"/>
    <w:qFormat/>
    <w:uiPriority w:val="0"/>
  </w:style>
  <w:style w:type="character" w:customStyle="1" w:styleId="65">
    <w:name w:val="InformationTok"/>
    <w:basedOn w:val="35"/>
    <w:qFormat/>
    <w:uiPriority w:val="0"/>
    <w:rPr>
      <w:b/>
      <w:i/>
      <w:color w:val="60A0B0"/>
    </w:rPr>
  </w:style>
  <w:style w:type="character" w:customStyle="1" w:styleId="66">
    <w:name w:val="WarningTok"/>
    <w:basedOn w:val="35"/>
    <w:qFormat/>
    <w:uiPriority w:val="0"/>
    <w:rPr>
      <w:b/>
      <w:i/>
      <w:color w:val="60A0B0"/>
    </w:rPr>
  </w:style>
  <w:style w:type="character" w:customStyle="1" w:styleId="67">
    <w:name w:val="AlertTok"/>
    <w:basedOn w:val="35"/>
    <w:qFormat/>
    <w:uiPriority w:val="0"/>
    <w:rPr>
      <w:b/>
      <w:color w:val="FF0000"/>
    </w:rPr>
  </w:style>
  <w:style w:type="character" w:customStyle="1" w:styleId="68">
    <w:name w:val="ErrorTok"/>
    <w:basedOn w:val="35"/>
    <w:qFormat/>
    <w:uiPriority w:val="0"/>
    <w:rPr>
      <w:b/>
      <w:color w:val="FF0000"/>
    </w:rPr>
  </w:style>
  <w:style w:type="character" w:customStyle="1" w:styleId="69">
    <w:name w:val="NormalTok"/>
    <w:basedOn w:val="3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5558</Words>
  <Characters>6530</Characters>
  <Lines>12</Lines>
  <Paragraphs>8</Paragraphs>
  <TotalTime>6</TotalTime>
  <ScaleCrop>false</ScaleCrop>
  <LinksUpToDate>false</LinksUpToDate>
  <CharactersWithSpaces>6695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2026-07-29T00:10:00Z</dcterms:created>
  <dc:creator>Lumen_Nyx</dc:creator>
  <cp:lastModifiedBy>Lumen_Nyx</cp:lastModifiedBy>
  <dcterms:modified xsi:type="dcterms:W3CDTF">2026-07-29T01:03:11Z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eyJoZGlkIjoiNTYyMWY2NzY2ZjU1Nzk3ZDgwYWM4NmMzZjI4YmNlYzgiLCJ1c2VySWQiOiIxNTc3NTk3MDM5In0=</vt:lpwstr>
  </property>
  <property fmtid="{D5CDD505-2E9C-101B-9397-08002B2CF9AE}" pid="3" name="KSOProductBuildVer">
    <vt:lpwstr>2052-12.1.0.26895</vt:lpwstr>
  </property>
  <property fmtid="{D5CDD505-2E9C-101B-9397-08002B2CF9AE}" pid="4" name="ICV">
    <vt:lpwstr>3BE017F66E124C1AB23A07AA11264FA0_12</vt:lpwstr>
  </property>
</Properties>
</file>